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68E38A" w14:textId="20FE982B" w:rsidR="00807DCC" w:rsidRPr="00807DCC" w:rsidRDefault="00807DCC" w:rsidP="00807DCC">
      <w:pPr>
        <w:spacing w:before="100" w:beforeAutospacing="1" w:after="100" w:afterAutospacing="1"/>
        <w:outlineLvl w:val="0"/>
        <w:rPr>
          <w:b/>
          <w:bCs/>
          <w:color w:val="000000"/>
          <w:kern w:val="36"/>
          <w:sz w:val="48"/>
          <w:szCs w:val="48"/>
        </w:rPr>
      </w:pPr>
      <w:r w:rsidRPr="00807DCC">
        <w:rPr>
          <w:b/>
          <w:bCs/>
          <w:color w:val="000000"/>
          <w:kern w:val="36"/>
          <w:sz w:val="48"/>
          <w:szCs w:val="48"/>
        </w:rPr>
        <w:t>Comercio Internacional, Trabajo y Medio Ambiente (Feenstra &amp; Taylor, Cap. 11)</w:t>
      </w:r>
    </w:p>
    <w:p w14:paraId="7610AB7D" w14:textId="04898A8A" w:rsidR="00807DCC" w:rsidRPr="00807DCC" w:rsidRDefault="00807DCC" w:rsidP="00807DCC">
      <w:pPr>
        <w:spacing w:before="100" w:beforeAutospacing="1" w:after="100" w:afterAutospacing="1"/>
        <w:outlineLvl w:val="1"/>
        <w:rPr>
          <w:b/>
          <w:bCs/>
          <w:color w:val="000000"/>
          <w:sz w:val="36"/>
          <w:szCs w:val="36"/>
        </w:rPr>
      </w:pPr>
      <w:r w:rsidRPr="00807DCC">
        <w:rPr>
          <w:b/>
          <w:bCs/>
          <w:color w:val="000000"/>
          <w:sz w:val="36"/>
          <w:szCs w:val="36"/>
        </w:rPr>
        <w:t>Objetivos de la sesión</w:t>
      </w:r>
    </w:p>
    <w:p w14:paraId="788FD238" w14:textId="77777777" w:rsidR="00807DCC" w:rsidRPr="00807DCC" w:rsidRDefault="00807DCC" w:rsidP="00807DCC">
      <w:pPr>
        <w:numPr>
          <w:ilvl w:val="0"/>
          <w:numId w:val="1"/>
        </w:numPr>
        <w:spacing w:before="100" w:beforeAutospacing="1" w:after="100" w:afterAutospacing="1"/>
        <w:rPr>
          <w:color w:val="000000"/>
        </w:rPr>
      </w:pPr>
      <w:r w:rsidRPr="00807DCC">
        <w:rPr>
          <w:color w:val="000000"/>
        </w:rPr>
        <w:t>Comprender cómo los acuerdos internacionales de comercio incorporan cuestiones laborales y ambientales.</w:t>
      </w:r>
    </w:p>
    <w:p w14:paraId="40809944" w14:textId="77777777" w:rsidR="00807DCC" w:rsidRDefault="00807DCC" w:rsidP="00807DCC">
      <w:pPr>
        <w:numPr>
          <w:ilvl w:val="0"/>
          <w:numId w:val="1"/>
        </w:numPr>
        <w:spacing w:before="100" w:beforeAutospacing="1" w:after="100" w:afterAutospacing="1"/>
        <w:rPr>
          <w:color w:val="000000"/>
        </w:rPr>
      </w:pPr>
      <w:r w:rsidRPr="00807DCC">
        <w:rPr>
          <w:color w:val="000000"/>
        </w:rPr>
        <w:t>Analizar los argumentos económicos a favor y en contra de vincular estos temas al libre comercio.</w:t>
      </w:r>
    </w:p>
    <w:p w14:paraId="6E3EA451" w14:textId="77777777" w:rsidR="00180EAF" w:rsidRDefault="00180EAF" w:rsidP="00180EAF">
      <w:pPr>
        <w:spacing w:before="100" w:beforeAutospacing="1" w:after="100" w:afterAutospacing="1"/>
        <w:rPr>
          <w:color w:val="000000"/>
        </w:rPr>
      </w:pPr>
    </w:p>
    <w:p w14:paraId="3E2EB708" w14:textId="1ACFF201" w:rsidR="00180EAF" w:rsidRPr="00271B89" w:rsidRDefault="00180EAF" w:rsidP="00271B89">
      <w:pPr>
        <w:pStyle w:val="Prrafodelista"/>
        <w:numPr>
          <w:ilvl w:val="0"/>
          <w:numId w:val="14"/>
        </w:numPr>
        <w:spacing w:before="100" w:beforeAutospacing="1" w:after="100" w:afterAutospacing="1"/>
        <w:rPr>
          <w:b/>
          <w:bCs/>
          <w:color w:val="000000"/>
        </w:rPr>
      </w:pPr>
      <w:r w:rsidRPr="00271B89">
        <w:rPr>
          <w:b/>
          <w:bCs/>
          <w:color w:val="000000"/>
        </w:rPr>
        <w:t>VENTAJAS DE LA APERTURA COMERCIAL</w:t>
      </w:r>
    </w:p>
    <w:p w14:paraId="57D85760" w14:textId="7BC87510" w:rsidR="00180EAF" w:rsidRDefault="00180EAF" w:rsidP="00180EAF">
      <w:pPr>
        <w:pStyle w:val="NormalWeb"/>
        <w:jc w:val="both"/>
        <w:rPr>
          <w:color w:val="000000"/>
        </w:rPr>
      </w:pPr>
      <w:r>
        <w:rPr>
          <w:color w:val="000000"/>
        </w:rPr>
        <w:t xml:space="preserve">La apertura comercial (reducción o eliminación de aranceles, cuotas y otras barreras).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7"/>
        <w:gridCol w:w="3145"/>
        <w:gridCol w:w="1948"/>
        <w:gridCol w:w="2192"/>
      </w:tblGrid>
      <w:tr w:rsidR="00180EAF" w14:paraId="27633661" w14:textId="77777777">
        <w:trPr>
          <w:trHeight w:val="165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C1AF664" w14:textId="77777777" w:rsidR="00180EAF" w:rsidRDefault="00180EAF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Ventaja Teórica</w:t>
            </w:r>
          </w:p>
        </w:tc>
        <w:tc>
          <w:tcPr>
            <w:tcW w:w="8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16B2794" w14:textId="77777777" w:rsidR="00180EAF" w:rsidRDefault="00180EAF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Explicación (según el libro)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6DA3D05" w14:textId="77777777" w:rsidR="00180EAF" w:rsidRDefault="00180EAF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Modelo principal</w:t>
            </w:r>
          </w:p>
        </w:tc>
        <w:tc>
          <w:tcPr>
            <w:tcW w:w="5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D63C400" w14:textId="77777777" w:rsidR="00180EAF" w:rsidRDefault="00180EAF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Ganancia esperada</w:t>
            </w:r>
          </w:p>
        </w:tc>
      </w:tr>
      <w:tr w:rsidR="00180EAF" w14:paraId="1179ED61" w14:textId="77777777">
        <w:trPr>
          <w:trHeight w:val="180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429DCD0" w14:textId="5196E751" w:rsidR="00180EAF" w:rsidRDefault="00180EAF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 xml:space="preserve">Ganancias del comercio </w:t>
            </w:r>
          </w:p>
        </w:tc>
        <w:tc>
          <w:tcPr>
            <w:tcW w:w="8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508EC87" w14:textId="78049E4A" w:rsidR="00180EAF" w:rsidRDefault="00180EAF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Los países se especializan según su ventaja comparativa producen más de lo que consumen y comercian el excedente.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266F67E" w14:textId="77777777" w:rsidR="00180EAF" w:rsidRDefault="00180EAF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Ricardo (1817) y modelo de dotaciones factoriales (Heckscher-Ohlin)</w:t>
            </w:r>
          </w:p>
        </w:tc>
        <w:tc>
          <w:tcPr>
            <w:tcW w:w="5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30B3EED" w14:textId="30B6EB69" w:rsidR="00180EAF" w:rsidRDefault="00180EAF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Triángulos de ganancia en consumo y producción aumento del bienestar total</w:t>
            </w:r>
          </w:p>
        </w:tc>
      </w:tr>
      <w:tr w:rsidR="00180EAF" w14:paraId="14ADFFC7" w14:textId="77777777">
        <w:trPr>
          <w:trHeight w:val="165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D946FA5" w14:textId="77777777" w:rsidR="00180EAF" w:rsidRDefault="00180EAF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Mejora de los términos de intercambio</w:t>
            </w:r>
          </w:p>
        </w:tc>
        <w:tc>
          <w:tcPr>
            <w:tcW w:w="8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28BB269" w14:textId="187C6666" w:rsidR="00180EAF" w:rsidRDefault="00180EAF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Países grandes reducen</w:t>
            </w:r>
            <w:r>
              <w:rPr>
                <w:rFonts w:ascii="Helvetica Neue" w:hAnsi="Helvetica Neue"/>
                <w:color w:val="000000"/>
                <w:sz w:val="15"/>
                <w:szCs w:val="15"/>
              </w:rPr>
              <w:t>/aumenta</w:t>
            </w:r>
            <w:r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aranceles  bajan el precio mundial de sus importaciones.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44812BB" w14:textId="77777777" w:rsidR="00180EAF" w:rsidRDefault="00180EAF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Modelo de país grande</w:t>
            </w:r>
          </w:p>
        </w:tc>
        <w:tc>
          <w:tcPr>
            <w:tcW w:w="5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C034655" w14:textId="77777777" w:rsidR="00180EAF" w:rsidRDefault="00180EAF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Transferencia de ingreso desde el resto del mundo</w:t>
            </w:r>
          </w:p>
        </w:tc>
      </w:tr>
      <w:tr w:rsidR="00180EAF" w14:paraId="7EE69D69" w14:textId="77777777">
        <w:trPr>
          <w:trHeight w:val="165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23A210C" w14:textId="77777777" w:rsidR="00180EAF" w:rsidRDefault="00180EAF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Eficiencia productiva y escala</w:t>
            </w:r>
          </w:p>
        </w:tc>
        <w:tc>
          <w:tcPr>
            <w:tcW w:w="8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B12CC8F" w14:textId="77777777" w:rsidR="00180EAF" w:rsidRDefault="00180EAF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Se elimina producción ineficiente interna (importaciones más baratas) y se explotan economías de escala.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B3E65E3" w14:textId="77777777" w:rsidR="00180EAF" w:rsidRDefault="00180EAF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Modelo de competencia imperfecta (Krugman)</w:t>
            </w:r>
          </w:p>
        </w:tc>
        <w:tc>
          <w:tcPr>
            <w:tcW w:w="5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3D78A70" w14:textId="77777777" w:rsidR="00180EAF" w:rsidRDefault="00180EAF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Creación de comercio (mayor que la desviación en acuerdos regionales)</w:t>
            </w:r>
          </w:p>
        </w:tc>
      </w:tr>
      <w:tr w:rsidR="00180EAF" w14:paraId="79D706B6" w14:textId="77777777">
        <w:trPr>
          <w:trHeight w:val="165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031C438" w14:textId="77777777" w:rsidR="00180EAF" w:rsidRDefault="00180EAF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Efecto Stolper-Samuelson</w:t>
            </w:r>
          </w:p>
        </w:tc>
        <w:tc>
          <w:tcPr>
            <w:tcW w:w="8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0419AF2" w14:textId="47D02804" w:rsidR="00180EAF" w:rsidRDefault="00180EAF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En países abundantes en trabajo (emergentes) suben salarios reales de los trabajadores no calificados.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FE20078" w14:textId="77777777" w:rsidR="00180EAF" w:rsidRDefault="00180EAF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Heckscher-Ohlin + Stolper-Samuelson</w:t>
            </w:r>
          </w:p>
        </w:tc>
        <w:tc>
          <w:tcPr>
            <w:tcW w:w="5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C38CB2C" w14:textId="77777777" w:rsidR="00180EAF" w:rsidRDefault="00180EAF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Reducción de la desigualdad entre factores</w:t>
            </w:r>
          </w:p>
        </w:tc>
      </w:tr>
      <w:tr w:rsidR="00180EAF" w14:paraId="035A3AEE" w14:textId="77777777">
        <w:trPr>
          <w:trHeight w:val="165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9296901" w14:textId="77777777" w:rsidR="00180EAF" w:rsidRDefault="00180EAF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Mayor variedad de bienes</w:t>
            </w:r>
          </w:p>
        </w:tc>
        <w:tc>
          <w:tcPr>
            <w:tcW w:w="8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4AE32FD" w14:textId="77777777" w:rsidR="00180EAF" w:rsidRDefault="00180EAF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Los consumidores acceden a más productos a menor precio.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9E6F5C4" w14:textId="77777777" w:rsidR="00180EAF" w:rsidRDefault="00180EAF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Modelos de monopolio competitivo</w:t>
            </w:r>
          </w:p>
        </w:tc>
        <w:tc>
          <w:tcPr>
            <w:tcW w:w="5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C6F4295" w14:textId="77777777" w:rsidR="00180EAF" w:rsidRDefault="00180EAF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Aumento de la utilidad (love-of-variety)</w:t>
            </w:r>
          </w:p>
        </w:tc>
      </w:tr>
    </w:tbl>
    <w:p w14:paraId="1BC9B999" w14:textId="77777777" w:rsidR="00180EAF" w:rsidRDefault="00180EAF" w:rsidP="00180EAF">
      <w:pPr>
        <w:spacing w:before="100" w:beforeAutospacing="1" w:after="100" w:afterAutospacing="1"/>
        <w:rPr>
          <w:color w:val="000000"/>
        </w:rPr>
      </w:pPr>
    </w:p>
    <w:p w14:paraId="7333D565" w14:textId="3B10936F" w:rsidR="00180EAF" w:rsidRPr="00180EAF" w:rsidRDefault="00180EAF" w:rsidP="00271B89">
      <w:pPr>
        <w:pStyle w:val="Prrafodelista"/>
        <w:numPr>
          <w:ilvl w:val="0"/>
          <w:numId w:val="14"/>
        </w:numPr>
        <w:spacing w:before="100" w:beforeAutospacing="1" w:after="100" w:afterAutospacing="1"/>
        <w:rPr>
          <w:b/>
          <w:bCs/>
          <w:color w:val="000000"/>
        </w:rPr>
      </w:pPr>
      <w:r w:rsidRPr="00180EAF">
        <w:rPr>
          <w:b/>
          <w:bCs/>
          <w:color w:val="000000"/>
        </w:rPr>
        <w:t>PROCESO DE APERTURA ECONÓMICA</w:t>
      </w:r>
    </w:p>
    <w:p w14:paraId="26B4BB26" w14:textId="7E14F5AA" w:rsidR="00180EAF" w:rsidRDefault="00180EAF" w:rsidP="00180EAF">
      <w:pPr>
        <w:pStyle w:val="NormalWeb"/>
        <w:jc w:val="both"/>
        <w:rPr>
          <w:color w:val="000000"/>
        </w:rPr>
      </w:pPr>
      <w:r>
        <w:rPr>
          <w:color w:val="000000"/>
        </w:rPr>
        <w:t xml:space="preserve">La </w:t>
      </w:r>
      <w:r>
        <w:rPr>
          <w:rStyle w:val="Fuerte"/>
          <w:color w:val="000000"/>
        </w:rPr>
        <w:t>apertura económica</w:t>
      </w:r>
      <w:r>
        <w:rPr>
          <w:color w:val="000000"/>
        </w:rPr>
        <w:t xml:space="preserve"> (o liberalización comercial) consiste en la </w:t>
      </w:r>
      <w:r>
        <w:rPr>
          <w:rStyle w:val="Fuerte"/>
          <w:color w:val="000000"/>
        </w:rPr>
        <w:t>reducción o eliminación progresiva de barreras al comercio internacional</w:t>
      </w:r>
      <w:r>
        <w:rPr>
          <w:color w:val="000000"/>
        </w:rPr>
        <w:t xml:space="preserve"> (aranceles, cuotas, restricciones no arancelarias, subsidios a la exportación, etc.). El objetivo es integrar la economía nacional al mercado mundial, permitiendo que los precios y la especialización se acerquen a los del libre comercio.</w:t>
      </w:r>
    </w:p>
    <w:p w14:paraId="1423F118" w14:textId="77777777" w:rsidR="00180EAF" w:rsidRDefault="00180EAF" w:rsidP="00180EAF">
      <w:pPr>
        <w:pStyle w:val="NormalWeb"/>
        <w:jc w:val="both"/>
        <w:rPr>
          <w:color w:val="000000"/>
        </w:rPr>
      </w:pPr>
    </w:p>
    <w:p w14:paraId="2011A48B" w14:textId="77777777" w:rsidR="00271B89" w:rsidRDefault="00271B89" w:rsidP="00180EAF">
      <w:pPr>
        <w:pStyle w:val="NormalWeb"/>
        <w:jc w:val="both"/>
        <w:rPr>
          <w:color w:val="000000"/>
        </w:rPr>
      </w:pPr>
    </w:p>
    <w:p w14:paraId="01EED60A" w14:textId="292BAA15" w:rsidR="00180EAF" w:rsidRDefault="00180EAF" w:rsidP="00180EAF">
      <w:pPr>
        <w:pStyle w:val="NormalWeb"/>
        <w:jc w:val="both"/>
        <w:rPr>
          <w:color w:val="000000"/>
        </w:rPr>
      </w:pPr>
      <w:r>
        <w:rPr>
          <w:rStyle w:val="Fuerte"/>
          <w:color w:val="000000"/>
        </w:rPr>
        <w:lastRenderedPageBreak/>
        <w:t>Proceso de a</w:t>
      </w:r>
      <w:r>
        <w:rPr>
          <w:rStyle w:val="Fuerte"/>
          <w:color w:val="000000"/>
        </w:rPr>
        <w:t>pertura económica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2"/>
        <w:gridCol w:w="1627"/>
        <w:gridCol w:w="1120"/>
        <w:gridCol w:w="2114"/>
        <w:gridCol w:w="1769"/>
      </w:tblGrid>
      <w:tr w:rsidR="00180EAF" w14:paraId="185094FA" w14:textId="77777777" w:rsidTr="00180EA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E7C6CDA" w14:textId="77777777" w:rsidR="00180EAF" w:rsidRDefault="00180EAF" w:rsidP="006C1E8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Tipo de apertura</w:t>
            </w:r>
          </w:p>
        </w:tc>
        <w:tc>
          <w:tcPr>
            <w:tcW w:w="0" w:type="auto"/>
            <w:vAlign w:val="center"/>
            <w:hideMark/>
          </w:tcPr>
          <w:p w14:paraId="0668F56A" w14:textId="77777777" w:rsidR="00180EAF" w:rsidRDefault="00180EAF" w:rsidP="006C1E8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Alcance</w:t>
            </w:r>
          </w:p>
        </w:tc>
        <w:tc>
          <w:tcPr>
            <w:tcW w:w="0" w:type="auto"/>
            <w:vAlign w:val="center"/>
            <w:hideMark/>
          </w:tcPr>
          <w:p w14:paraId="039B8D8C" w14:textId="77777777" w:rsidR="00180EAF" w:rsidRDefault="00180EAF" w:rsidP="006C1E8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Velocidad</w:t>
            </w:r>
          </w:p>
        </w:tc>
        <w:tc>
          <w:tcPr>
            <w:tcW w:w="0" w:type="auto"/>
            <w:vAlign w:val="center"/>
            <w:hideMark/>
          </w:tcPr>
          <w:p w14:paraId="0191E385" w14:textId="77777777" w:rsidR="00180EAF" w:rsidRDefault="00180EAF" w:rsidP="006C1E8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Ejemplo clave</w:t>
            </w:r>
          </w:p>
        </w:tc>
        <w:tc>
          <w:tcPr>
            <w:tcW w:w="0" w:type="auto"/>
            <w:vAlign w:val="center"/>
            <w:hideMark/>
          </w:tcPr>
          <w:p w14:paraId="54D20682" w14:textId="77777777" w:rsidR="00180EAF" w:rsidRDefault="00180EAF" w:rsidP="006C1E8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Riesgo principal</w:t>
            </w:r>
          </w:p>
        </w:tc>
      </w:tr>
      <w:tr w:rsidR="00180EAF" w14:paraId="47800682" w14:textId="77777777" w:rsidTr="00180EA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6700167" w14:textId="77777777" w:rsidR="00180EAF" w:rsidRDefault="00180EAF" w:rsidP="006C1E85">
            <w:pPr>
              <w:rPr>
                <w:color w:val="000000"/>
              </w:rPr>
            </w:pPr>
            <w:r>
              <w:rPr>
                <w:color w:val="000000"/>
              </w:rPr>
              <w:t>Unilateral</w:t>
            </w:r>
          </w:p>
        </w:tc>
        <w:tc>
          <w:tcPr>
            <w:tcW w:w="0" w:type="auto"/>
            <w:vAlign w:val="center"/>
            <w:hideMark/>
          </w:tcPr>
          <w:p w14:paraId="71F2AA4D" w14:textId="77777777" w:rsidR="00180EAF" w:rsidRDefault="00180EAF" w:rsidP="006C1E85">
            <w:pPr>
              <w:rPr>
                <w:color w:val="000000"/>
              </w:rPr>
            </w:pPr>
            <w:r>
              <w:rPr>
                <w:color w:val="000000"/>
              </w:rPr>
              <w:t>1 país</w:t>
            </w:r>
          </w:p>
        </w:tc>
        <w:tc>
          <w:tcPr>
            <w:tcW w:w="0" w:type="auto"/>
            <w:vAlign w:val="center"/>
            <w:hideMark/>
          </w:tcPr>
          <w:p w14:paraId="057C3CAB" w14:textId="77777777" w:rsidR="00180EAF" w:rsidRDefault="00180EAF" w:rsidP="006C1E85">
            <w:pPr>
              <w:rPr>
                <w:color w:val="000000"/>
              </w:rPr>
            </w:pPr>
            <w:r>
              <w:rPr>
                <w:color w:val="000000"/>
              </w:rPr>
              <w:t>Rápida</w:t>
            </w:r>
          </w:p>
        </w:tc>
        <w:tc>
          <w:tcPr>
            <w:tcW w:w="0" w:type="auto"/>
            <w:vAlign w:val="center"/>
            <w:hideMark/>
          </w:tcPr>
          <w:p w14:paraId="0A3026CB" w14:textId="77777777" w:rsidR="00180EAF" w:rsidRDefault="00180EAF" w:rsidP="006C1E85">
            <w:pPr>
              <w:rPr>
                <w:color w:val="000000"/>
              </w:rPr>
            </w:pPr>
            <w:r>
              <w:rPr>
                <w:color w:val="000000"/>
              </w:rPr>
              <w:t>Chile 1970s</w:t>
            </w:r>
          </w:p>
        </w:tc>
        <w:tc>
          <w:tcPr>
            <w:tcW w:w="0" w:type="auto"/>
            <w:vAlign w:val="center"/>
            <w:hideMark/>
          </w:tcPr>
          <w:p w14:paraId="744CF5D6" w14:textId="77777777" w:rsidR="00180EAF" w:rsidRDefault="00180EAF" w:rsidP="006C1E85">
            <w:pPr>
              <w:rPr>
                <w:color w:val="000000"/>
              </w:rPr>
            </w:pPr>
            <w:r>
              <w:rPr>
                <w:color w:val="000000"/>
              </w:rPr>
              <w:t>Sin reciprocidad</w:t>
            </w:r>
          </w:p>
        </w:tc>
      </w:tr>
      <w:tr w:rsidR="00180EAF" w14:paraId="5F652B25" w14:textId="77777777" w:rsidTr="00180EA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867522" w14:textId="77777777" w:rsidR="00180EAF" w:rsidRDefault="00180EAF" w:rsidP="006C1E85">
            <w:pPr>
              <w:rPr>
                <w:color w:val="000000"/>
              </w:rPr>
            </w:pPr>
            <w:r>
              <w:rPr>
                <w:color w:val="000000"/>
              </w:rPr>
              <w:t>Bilateral</w:t>
            </w:r>
          </w:p>
        </w:tc>
        <w:tc>
          <w:tcPr>
            <w:tcW w:w="0" w:type="auto"/>
            <w:vAlign w:val="center"/>
            <w:hideMark/>
          </w:tcPr>
          <w:p w14:paraId="62484CE7" w14:textId="77777777" w:rsidR="00180EAF" w:rsidRDefault="00180EAF" w:rsidP="006C1E85">
            <w:pPr>
              <w:rPr>
                <w:color w:val="000000"/>
              </w:rPr>
            </w:pPr>
            <w:r>
              <w:rPr>
                <w:color w:val="000000"/>
              </w:rPr>
              <w:t>2 países</w:t>
            </w:r>
          </w:p>
        </w:tc>
        <w:tc>
          <w:tcPr>
            <w:tcW w:w="0" w:type="auto"/>
            <w:vAlign w:val="center"/>
            <w:hideMark/>
          </w:tcPr>
          <w:p w14:paraId="0ABB1290" w14:textId="77777777" w:rsidR="00180EAF" w:rsidRDefault="00180EAF" w:rsidP="006C1E85">
            <w:pPr>
              <w:rPr>
                <w:color w:val="000000"/>
              </w:rPr>
            </w:pPr>
            <w:r>
              <w:rPr>
                <w:color w:val="000000"/>
              </w:rPr>
              <w:t>Media</w:t>
            </w:r>
          </w:p>
        </w:tc>
        <w:tc>
          <w:tcPr>
            <w:tcW w:w="0" w:type="auto"/>
            <w:vAlign w:val="center"/>
            <w:hideMark/>
          </w:tcPr>
          <w:p w14:paraId="45C3CD38" w14:textId="77777777" w:rsidR="00180EAF" w:rsidRDefault="00180EAF" w:rsidP="006C1E85">
            <w:pPr>
              <w:rPr>
                <w:color w:val="000000"/>
              </w:rPr>
            </w:pPr>
            <w:r>
              <w:rPr>
                <w:color w:val="000000"/>
              </w:rPr>
              <w:t>México-Chile</w:t>
            </w:r>
          </w:p>
        </w:tc>
        <w:tc>
          <w:tcPr>
            <w:tcW w:w="0" w:type="auto"/>
            <w:vAlign w:val="center"/>
            <w:hideMark/>
          </w:tcPr>
          <w:p w14:paraId="03A4ABF3" w14:textId="77777777" w:rsidR="00180EAF" w:rsidRDefault="00180EAF" w:rsidP="006C1E85">
            <w:pPr>
              <w:rPr>
                <w:color w:val="000000"/>
              </w:rPr>
            </w:pPr>
            <w:r>
              <w:rPr>
                <w:color w:val="000000"/>
              </w:rPr>
              <w:t>Desviación</w:t>
            </w:r>
          </w:p>
        </w:tc>
      </w:tr>
      <w:tr w:rsidR="00180EAF" w14:paraId="1E4B62CC" w14:textId="77777777" w:rsidTr="00180EA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735082D" w14:textId="77777777" w:rsidR="00180EAF" w:rsidRDefault="00180EAF" w:rsidP="006C1E85">
            <w:pPr>
              <w:rPr>
                <w:color w:val="000000"/>
              </w:rPr>
            </w:pPr>
            <w:r>
              <w:rPr>
                <w:color w:val="000000"/>
              </w:rPr>
              <w:t>Regional</w:t>
            </w:r>
          </w:p>
        </w:tc>
        <w:tc>
          <w:tcPr>
            <w:tcW w:w="0" w:type="auto"/>
            <w:vAlign w:val="center"/>
            <w:hideMark/>
          </w:tcPr>
          <w:p w14:paraId="5887891A" w14:textId="77777777" w:rsidR="00180EAF" w:rsidRDefault="00180EAF" w:rsidP="006C1E85">
            <w:pPr>
              <w:rPr>
                <w:color w:val="000000"/>
              </w:rPr>
            </w:pPr>
            <w:r>
              <w:rPr>
                <w:color w:val="000000"/>
              </w:rPr>
              <w:t>Grupo de países</w:t>
            </w:r>
          </w:p>
        </w:tc>
        <w:tc>
          <w:tcPr>
            <w:tcW w:w="0" w:type="auto"/>
            <w:vAlign w:val="center"/>
            <w:hideMark/>
          </w:tcPr>
          <w:p w14:paraId="62A393B8" w14:textId="77777777" w:rsidR="00180EAF" w:rsidRDefault="00180EAF" w:rsidP="006C1E85">
            <w:pPr>
              <w:rPr>
                <w:color w:val="000000"/>
              </w:rPr>
            </w:pPr>
            <w:r>
              <w:rPr>
                <w:color w:val="000000"/>
              </w:rPr>
              <w:t>Media-alta</w:t>
            </w:r>
          </w:p>
        </w:tc>
        <w:tc>
          <w:tcPr>
            <w:tcW w:w="0" w:type="auto"/>
            <w:vAlign w:val="center"/>
            <w:hideMark/>
          </w:tcPr>
          <w:p w14:paraId="3866DB8D" w14:textId="77777777" w:rsidR="00180EAF" w:rsidRDefault="00180EAF" w:rsidP="006C1E85">
            <w:pPr>
              <w:rPr>
                <w:color w:val="000000"/>
              </w:rPr>
            </w:pPr>
            <w:r>
              <w:rPr>
                <w:color w:val="000000"/>
              </w:rPr>
              <w:t>TLCAN</w:t>
            </w:r>
          </w:p>
        </w:tc>
        <w:tc>
          <w:tcPr>
            <w:tcW w:w="0" w:type="auto"/>
            <w:vAlign w:val="center"/>
            <w:hideMark/>
          </w:tcPr>
          <w:p w14:paraId="5D0184AA" w14:textId="77777777" w:rsidR="00180EAF" w:rsidRDefault="00180EAF" w:rsidP="006C1E85">
            <w:pPr>
              <w:rPr>
                <w:color w:val="000000"/>
              </w:rPr>
            </w:pPr>
            <w:r>
              <w:rPr>
                <w:color w:val="000000"/>
              </w:rPr>
              <w:t>Desviación</w:t>
            </w:r>
          </w:p>
        </w:tc>
      </w:tr>
      <w:tr w:rsidR="00180EAF" w14:paraId="5E893825" w14:textId="77777777" w:rsidTr="00180EA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D19FB4F" w14:textId="77777777" w:rsidR="00180EAF" w:rsidRDefault="00180EAF" w:rsidP="006C1E85">
            <w:pPr>
              <w:rPr>
                <w:color w:val="000000"/>
              </w:rPr>
            </w:pPr>
            <w:r>
              <w:rPr>
                <w:color w:val="000000"/>
              </w:rPr>
              <w:t>Multilateral</w:t>
            </w:r>
          </w:p>
        </w:tc>
        <w:tc>
          <w:tcPr>
            <w:tcW w:w="0" w:type="auto"/>
            <w:vAlign w:val="center"/>
            <w:hideMark/>
          </w:tcPr>
          <w:p w14:paraId="78CADF4F" w14:textId="77777777" w:rsidR="00180EAF" w:rsidRDefault="00180EAF" w:rsidP="006C1E85">
            <w:pPr>
              <w:rPr>
                <w:color w:val="000000"/>
              </w:rPr>
            </w:pPr>
            <w:r>
              <w:rPr>
                <w:color w:val="000000"/>
              </w:rPr>
              <w:t>Mundial</w:t>
            </w:r>
          </w:p>
        </w:tc>
        <w:tc>
          <w:tcPr>
            <w:tcW w:w="0" w:type="auto"/>
            <w:vAlign w:val="center"/>
            <w:hideMark/>
          </w:tcPr>
          <w:p w14:paraId="19E5E332" w14:textId="77777777" w:rsidR="00180EAF" w:rsidRDefault="00180EAF" w:rsidP="006C1E85">
            <w:pPr>
              <w:rPr>
                <w:color w:val="000000"/>
              </w:rPr>
            </w:pPr>
            <w:r>
              <w:rPr>
                <w:color w:val="000000"/>
              </w:rPr>
              <w:t>Muy lenta</w:t>
            </w:r>
          </w:p>
        </w:tc>
        <w:tc>
          <w:tcPr>
            <w:tcW w:w="0" w:type="auto"/>
            <w:vAlign w:val="center"/>
            <w:hideMark/>
          </w:tcPr>
          <w:p w14:paraId="2349B4A1" w14:textId="77777777" w:rsidR="00180EAF" w:rsidRDefault="00180EAF" w:rsidP="006C1E85">
            <w:pPr>
              <w:rPr>
                <w:color w:val="000000"/>
              </w:rPr>
            </w:pPr>
            <w:r>
              <w:rPr>
                <w:color w:val="000000"/>
              </w:rPr>
              <w:t>Rondas GATT/OMC</w:t>
            </w:r>
          </w:p>
        </w:tc>
        <w:tc>
          <w:tcPr>
            <w:tcW w:w="0" w:type="auto"/>
            <w:vAlign w:val="center"/>
            <w:hideMark/>
          </w:tcPr>
          <w:p w14:paraId="5DA3588E" w14:textId="77777777" w:rsidR="00180EAF" w:rsidRDefault="00180EAF" w:rsidP="006C1E85">
            <w:pPr>
              <w:rPr>
                <w:color w:val="000000"/>
              </w:rPr>
            </w:pPr>
            <w:r>
              <w:rPr>
                <w:color w:val="000000"/>
              </w:rPr>
              <w:t>Estancamiento</w:t>
            </w:r>
          </w:p>
        </w:tc>
      </w:tr>
    </w:tbl>
    <w:p w14:paraId="513BC73F" w14:textId="77777777" w:rsidR="00180EAF" w:rsidRDefault="00180EAF" w:rsidP="00180EAF">
      <w:pPr>
        <w:spacing w:before="100" w:beforeAutospacing="1" w:after="100" w:afterAutospacing="1"/>
        <w:rPr>
          <w:color w:val="000000"/>
        </w:rPr>
      </w:pPr>
    </w:p>
    <w:p w14:paraId="7D5793A0" w14:textId="77777777" w:rsidR="00180EAF" w:rsidRPr="00560E8C" w:rsidRDefault="00180EAF" w:rsidP="00180EAF">
      <w:pPr>
        <w:spacing w:before="100" w:beforeAutospacing="1" w:after="100" w:afterAutospacing="1"/>
        <w:outlineLvl w:val="2"/>
        <w:rPr>
          <w:b/>
          <w:bCs/>
          <w:color w:val="000000"/>
          <w:sz w:val="27"/>
          <w:szCs w:val="27"/>
        </w:rPr>
      </w:pPr>
      <w:r w:rsidRPr="00560E8C">
        <w:rPr>
          <w:b/>
          <w:bCs/>
          <w:color w:val="000000"/>
          <w:sz w:val="27"/>
          <w:szCs w:val="27"/>
        </w:rPr>
        <w:t>Secuencia típica de un proceso de apertura (caso real de México)</w:t>
      </w:r>
    </w:p>
    <w:p w14:paraId="23C755DE" w14:textId="77777777" w:rsidR="00180EAF" w:rsidRPr="00560E8C" w:rsidRDefault="00180EAF" w:rsidP="00180EAF">
      <w:pPr>
        <w:numPr>
          <w:ilvl w:val="0"/>
          <w:numId w:val="13"/>
        </w:numPr>
        <w:spacing w:before="100" w:beforeAutospacing="1" w:after="100" w:afterAutospacing="1"/>
        <w:rPr>
          <w:color w:val="000000"/>
        </w:rPr>
      </w:pPr>
      <w:r w:rsidRPr="00560E8C">
        <w:rPr>
          <w:b/>
          <w:bCs/>
          <w:color w:val="000000"/>
        </w:rPr>
        <w:t>Crisis interna</w:t>
      </w:r>
      <w:r w:rsidRPr="00560E8C">
        <w:rPr>
          <w:color w:val="000000"/>
        </w:rPr>
        <w:t> (1982) → primera apertura unilateral parcial.</w:t>
      </w:r>
    </w:p>
    <w:p w14:paraId="3135D8FA" w14:textId="77777777" w:rsidR="00180EAF" w:rsidRPr="00560E8C" w:rsidRDefault="00180EAF" w:rsidP="00180EAF">
      <w:pPr>
        <w:numPr>
          <w:ilvl w:val="0"/>
          <w:numId w:val="13"/>
        </w:numPr>
        <w:spacing w:before="100" w:beforeAutospacing="1" w:after="100" w:afterAutospacing="1"/>
        <w:rPr>
          <w:color w:val="000000"/>
        </w:rPr>
      </w:pPr>
      <w:r w:rsidRPr="00560E8C">
        <w:rPr>
          <w:b/>
          <w:bCs/>
          <w:color w:val="000000"/>
        </w:rPr>
        <w:t>Entrada al GATT</w:t>
      </w:r>
      <w:r w:rsidRPr="00560E8C">
        <w:rPr>
          <w:color w:val="000000"/>
        </w:rPr>
        <w:t> (1986) → apertura multilateral.</w:t>
      </w:r>
    </w:p>
    <w:p w14:paraId="79D1B28D" w14:textId="77777777" w:rsidR="00180EAF" w:rsidRPr="00560E8C" w:rsidRDefault="00180EAF" w:rsidP="00180EAF">
      <w:pPr>
        <w:numPr>
          <w:ilvl w:val="0"/>
          <w:numId w:val="13"/>
        </w:numPr>
        <w:spacing w:before="100" w:beforeAutospacing="1" w:after="100" w:afterAutospacing="1"/>
        <w:rPr>
          <w:color w:val="000000"/>
        </w:rPr>
      </w:pPr>
      <w:r w:rsidRPr="00560E8C">
        <w:rPr>
          <w:b/>
          <w:bCs/>
          <w:color w:val="000000"/>
        </w:rPr>
        <w:t>Negociación del TLCAN</w:t>
      </w:r>
      <w:r w:rsidRPr="00560E8C">
        <w:rPr>
          <w:color w:val="000000"/>
        </w:rPr>
        <w:t> (1994) → apertura regional profunda.</w:t>
      </w:r>
    </w:p>
    <w:p w14:paraId="7CBBD337" w14:textId="77777777" w:rsidR="00180EAF" w:rsidRDefault="00180EAF" w:rsidP="00180EAF">
      <w:pPr>
        <w:numPr>
          <w:ilvl w:val="0"/>
          <w:numId w:val="13"/>
        </w:numPr>
        <w:spacing w:before="100" w:beforeAutospacing="1" w:after="100" w:afterAutospacing="1"/>
        <w:rPr>
          <w:color w:val="000000"/>
        </w:rPr>
      </w:pPr>
      <w:r w:rsidRPr="00560E8C">
        <w:rPr>
          <w:b/>
          <w:bCs/>
          <w:color w:val="000000"/>
        </w:rPr>
        <w:t>Más de 50 acuerdos bilaterales y regionales</w:t>
      </w:r>
      <w:r w:rsidRPr="00560E8C">
        <w:rPr>
          <w:color w:val="000000"/>
        </w:rPr>
        <w:t> posteriores.</w:t>
      </w:r>
    </w:p>
    <w:p w14:paraId="3B891787" w14:textId="77777777" w:rsidR="00271B89" w:rsidRDefault="00271B89" w:rsidP="00271B89">
      <w:pPr>
        <w:spacing w:before="100" w:beforeAutospacing="1" w:after="100" w:afterAutospacing="1"/>
        <w:rPr>
          <w:color w:val="000000"/>
        </w:rPr>
      </w:pPr>
    </w:p>
    <w:p w14:paraId="0D81B4DE" w14:textId="77777777" w:rsidR="00271B89" w:rsidRDefault="00271B89" w:rsidP="00271B89">
      <w:pPr>
        <w:pStyle w:val="NormalWeb"/>
        <w:rPr>
          <w:color w:val="000000"/>
        </w:rPr>
      </w:pPr>
      <w:r>
        <w:rPr>
          <w:rStyle w:val="Fuerte"/>
          <w:color w:val="000000"/>
        </w:rPr>
        <w:t>Proceso de Integración Económica: ¿En qué consiste cada nivel?</w:t>
      </w:r>
    </w:p>
    <w:p w14:paraId="44045D06" w14:textId="77777777" w:rsidR="00271B89" w:rsidRDefault="00271B89" w:rsidP="00271B89">
      <w:pPr>
        <w:pStyle w:val="NormalWeb"/>
        <w:rPr>
          <w:color w:val="000000"/>
        </w:rPr>
      </w:pPr>
      <w:r>
        <w:rPr>
          <w:color w:val="000000"/>
        </w:rPr>
        <w:t xml:space="preserve">El </w:t>
      </w:r>
      <w:r>
        <w:rPr>
          <w:rStyle w:val="Fuerte"/>
          <w:color w:val="000000"/>
        </w:rPr>
        <w:t>proceso de integración económica</w:t>
      </w:r>
      <w:r>
        <w:rPr>
          <w:color w:val="000000"/>
        </w:rPr>
        <w:t xml:space="preserve"> es la progresiva eliminación de barreras al comercio (aranceles, cuotas, etc.) y a los movimientos de factores productivos (trabajo y capital) entre países, junto con una mayor coordinación de políticas económicas.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2"/>
        <w:gridCol w:w="1412"/>
        <w:gridCol w:w="2299"/>
        <w:gridCol w:w="2619"/>
        <w:gridCol w:w="1966"/>
      </w:tblGrid>
      <w:tr w:rsidR="00271B89" w:rsidRPr="00560E8C" w14:paraId="6E45C351" w14:textId="77777777" w:rsidTr="006C1E8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67187BE" w14:textId="77777777" w:rsidR="00271B89" w:rsidRPr="00560E8C" w:rsidRDefault="00271B89" w:rsidP="006C1E85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560E8C">
              <w:rPr>
                <w:b/>
                <w:bCs/>
                <w:color w:val="000000"/>
                <w:sz w:val="21"/>
                <w:szCs w:val="21"/>
              </w:rPr>
              <w:t>Nivel</w:t>
            </w:r>
          </w:p>
        </w:tc>
        <w:tc>
          <w:tcPr>
            <w:tcW w:w="0" w:type="auto"/>
            <w:vAlign w:val="center"/>
            <w:hideMark/>
          </w:tcPr>
          <w:p w14:paraId="7C7178AF" w14:textId="77777777" w:rsidR="00271B89" w:rsidRPr="00560E8C" w:rsidRDefault="00271B89" w:rsidP="006C1E85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560E8C">
              <w:rPr>
                <w:b/>
                <w:bCs/>
                <w:color w:val="000000"/>
                <w:sz w:val="21"/>
                <w:szCs w:val="21"/>
              </w:rPr>
              <w:t>Nombre</w:t>
            </w:r>
          </w:p>
        </w:tc>
        <w:tc>
          <w:tcPr>
            <w:tcW w:w="2269" w:type="dxa"/>
            <w:vAlign w:val="center"/>
            <w:hideMark/>
          </w:tcPr>
          <w:p w14:paraId="282FCABC" w14:textId="77777777" w:rsidR="00271B89" w:rsidRPr="00560E8C" w:rsidRDefault="00271B89" w:rsidP="006C1E85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560E8C">
              <w:rPr>
                <w:b/>
                <w:bCs/>
                <w:color w:val="000000"/>
                <w:sz w:val="21"/>
                <w:szCs w:val="21"/>
              </w:rPr>
              <w:t>¿En qué consiste?</w:t>
            </w:r>
          </w:p>
        </w:tc>
        <w:tc>
          <w:tcPr>
            <w:tcW w:w="2589" w:type="dxa"/>
            <w:vAlign w:val="center"/>
            <w:hideMark/>
          </w:tcPr>
          <w:p w14:paraId="4C815D32" w14:textId="77777777" w:rsidR="00271B89" w:rsidRPr="00560E8C" w:rsidRDefault="00271B89" w:rsidP="006C1E85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560E8C">
              <w:rPr>
                <w:b/>
                <w:bCs/>
                <w:color w:val="000000"/>
                <w:sz w:val="21"/>
                <w:szCs w:val="21"/>
              </w:rPr>
              <w:t>Características clave</w:t>
            </w:r>
          </w:p>
        </w:tc>
        <w:tc>
          <w:tcPr>
            <w:tcW w:w="0" w:type="auto"/>
            <w:vAlign w:val="center"/>
            <w:hideMark/>
          </w:tcPr>
          <w:p w14:paraId="19E12B45" w14:textId="77777777" w:rsidR="00271B89" w:rsidRPr="00560E8C" w:rsidRDefault="00271B89" w:rsidP="006C1E85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560E8C">
              <w:rPr>
                <w:b/>
                <w:bCs/>
                <w:color w:val="000000"/>
                <w:sz w:val="21"/>
                <w:szCs w:val="21"/>
              </w:rPr>
              <w:t>Ejemplos</w:t>
            </w:r>
          </w:p>
        </w:tc>
      </w:tr>
      <w:tr w:rsidR="00271B89" w:rsidRPr="00560E8C" w14:paraId="477ABBF4" w14:textId="77777777" w:rsidTr="006C1E8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562DEAF" w14:textId="77777777" w:rsidR="00271B89" w:rsidRPr="00560E8C" w:rsidRDefault="00271B89" w:rsidP="006C1E85">
            <w:pPr>
              <w:rPr>
                <w:color w:val="000000"/>
                <w:sz w:val="21"/>
                <w:szCs w:val="21"/>
              </w:rPr>
            </w:pPr>
            <w:r w:rsidRPr="00560E8C">
              <w:rPr>
                <w:rStyle w:val="Fuerte"/>
                <w:color w:val="000000"/>
                <w:sz w:val="21"/>
                <w:szCs w:val="21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D059466" w14:textId="77777777" w:rsidR="00271B89" w:rsidRPr="00560E8C" w:rsidRDefault="00271B89" w:rsidP="006C1E85">
            <w:pPr>
              <w:rPr>
                <w:color w:val="000000"/>
                <w:sz w:val="21"/>
                <w:szCs w:val="21"/>
              </w:rPr>
            </w:pPr>
            <w:r w:rsidRPr="00560E8C">
              <w:rPr>
                <w:rStyle w:val="Fuerte"/>
                <w:color w:val="000000"/>
                <w:sz w:val="21"/>
                <w:szCs w:val="21"/>
              </w:rPr>
              <w:t>Acuerdo Comercial Preferencial (PTA)</w:t>
            </w:r>
          </w:p>
        </w:tc>
        <w:tc>
          <w:tcPr>
            <w:tcW w:w="2269" w:type="dxa"/>
            <w:vAlign w:val="center"/>
            <w:hideMark/>
          </w:tcPr>
          <w:p w14:paraId="1A1AE912" w14:textId="77777777" w:rsidR="00271B89" w:rsidRPr="00560E8C" w:rsidRDefault="00271B89" w:rsidP="006C1E85">
            <w:pPr>
              <w:rPr>
                <w:color w:val="000000"/>
                <w:sz w:val="21"/>
                <w:szCs w:val="21"/>
              </w:rPr>
            </w:pPr>
            <w:r w:rsidRPr="00560E8C">
              <w:rPr>
                <w:color w:val="000000"/>
                <w:sz w:val="21"/>
                <w:szCs w:val="21"/>
              </w:rPr>
              <w:t>Reducción parcial de aranceles entre los países miembros (no se eliminan todos).</w:t>
            </w:r>
          </w:p>
        </w:tc>
        <w:tc>
          <w:tcPr>
            <w:tcW w:w="2589" w:type="dxa"/>
            <w:vAlign w:val="center"/>
            <w:hideMark/>
          </w:tcPr>
          <w:p w14:paraId="156C0D1E" w14:textId="77777777" w:rsidR="00271B89" w:rsidRPr="00560E8C" w:rsidRDefault="00271B89" w:rsidP="006C1E85">
            <w:pPr>
              <w:rPr>
                <w:color w:val="000000"/>
                <w:sz w:val="21"/>
                <w:szCs w:val="21"/>
              </w:rPr>
            </w:pPr>
            <w:r w:rsidRPr="00560E8C">
              <w:rPr>
                <w:color w:val="000000"/>
                <w:sz w:val="21"/>
                <w:szCs w:val="21"/>
              </w:rPr>
              <w:t>Aranceles más bajos solo entre socios, pero siguen existiendo. Es el nivel más bajo y flexible.</w:t>
            </w:r>
          </w:p>
        </w:tc>
        <w:tc>
          <w:tcPr>
            <w:tcW w:w="0" w:type="auto"/>
            <w:vAlign w:val="center"/>
            <w:hideMark/>
          </w:tcPr>
          <w:p w14:paraId="6D3FE680" w14:textId="77777777" w:rsidR="00271B89" w:rsidRPr="00560E8C" w:rsidRDefault="00271B89" w:rsidP="006C1E85">
            <w:pPr>
              <w:rPr>
                <w:color w:val="000000"/>
                <w:sz w:val="21"/>
                <w:szCs w:val="21"/>
              </w:rPr>
            </w:pPr>
            <w:r w:rsidRPr="00560E8C">
              <w:rPr>
                <w:color w:val="000000"/>
                <w:sz w:val="21"/>
                <w:szCs w:val="21"/>
              </w:rPr>
              <w:t>Acuerdos bilaterales antiguos o el Sistema Generalizado de Preferencias (SGP) de la UE con países en desarrollo.</w:t>
            </w:r>
          </w:p>
        </w:tc>
      </w:tr>
      <w:tr w:rsidR="00271B89" w:rsidRPr="00560E8C" w14:paraId="533C7742" w14:textId="77777777" w:rsidTr="006C1E8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A89586E" w14:textId="77777777" w:rsidR="00271B89" w:rsidRPr="00560E8C" w:rsidRDefault="00271B89" w:rsidP="006C1E85">
            <w:pPr>
              <w:rPr>
                <w:color w:val="000000"/>
                <w:sz w:val="21"/>
                <w:szCs w:val="21"/>
              </w:rPr>
            </w:pPr>
            <w:r w:rsidRPr="00560E8C">
              <w:rPr>
                <w:rStyle w:val="Fuerte"/>
                <w:color w:val="000000"/>
                <w:sz w:val="21"/>
                <w:szCs w:val="21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1212572B" w14:textId="77777777" w:rsidR="00271B89" w:rsidRPr="00560E8C" w:rsidRDefault="00271B89" w:rsidP="006C1E85">
            <w:pPr>
              <w:rPr>
                <w:color w:val="000000"/>
                <w:sz w:val="21"/>
                <w:szCs w:val="21"/>
              </w:rPr>
            </w:pPr>
            <w:r w:rsidRPr="00560E8C">
              <w:rPr>
                <w:rStyle w:val="Fuerte"/>
                <w:color w:val="000000"/>
                <w:sz w:val="21"/>
                <w:szCs w:val="21"/>
              </w:rPr>
              <w:t>Zona de Libre Comercio (Free Trade Area – FTA)</w:t>
            </w:r>
          </w:p>
        </w:tc>
        <w:tc>
          <w:tcPr>
            <w:tcW w:w="2269" w:type="dxa"/>
            <w:vAlign w:val="center"/>
            <w:hideMark/>
          </w:tcPr>
          <w:p w14:paraId="64A6D2FA" w14:textId="77777777" w:rsidR="00271B89" w:rsidRPr="00560E8C" w:rsidRDefault="00271B89" w:rsidP="006C1E85">
            <w:pPr>
              <w:rPr>
                <w:color w:val="000000"/>
                <w:sz w:val="21"/>
                <w:szCs w:val="21"/>
              </w:rPr>
            </w:pPr>
            <w:r w:rsidRPr="00560E8C">
              <w:rPr>
                <w:color w:val="000000"/>
                <w:sz w:val="21"/>
                <w:szCs w:val="21"/>
              </w:rPr>
              <w:t>Eliminación completa de aranceles y cuotas</w:t>
            </w:r>
            <w:r w:rsidRPr="00560E8C">
              <w:rPr>
                <w:rStyle w:val="apple-converted-space"/>
                <w:color w:val="000000"/>
                <w:sz w:val="21"/>
                <w:szCs w:val="21"/>
              </w:rPr>
              <w:t> </w:t>
            </w:r>
            <w:r w:rsidRPr="00560E8C">
              <w:rPr>
                <w:rStyle w:val="Fuerte"/>
                <w:color w:val="000000"/>
                <w:sz w:val="21"/>
                <w:szCs w:val="21"/>
              </w:rPr>
              <w:t>entre</w:t>
            </w:r>
            <w:r w:rsidRPr="00560E8C">
              <w:rPr>
                <w:rStyle w:val="apple-converted-space"/>
                <w:color w:val="000000"/>
                <w:sz w:val="21"/>
                <w:szCs w:val="21"/>
              </w:rPr>
              <w:t> </w:t>
            </w:r>
            <w:r w:rsidRPr="00560E8C">
              <w:rPr>
                <w:color w:val="000000"/>
                <w:sz w:val="21"/>
                <w:szCs w:val="21"/>
              </w:rPr>
              <w:t>los miembros. Cada país mantiene</w:t>
            </w:r>
            <w:r w:rsidRPr="00560E8C">
              <w:rPr>
                <w:rStyle w:val="apple-converted-space"/>
                <w:color w:val="000000"/>
                <w:sz w:val="21"/>
                <w:szCs w:val="21"/>
              </w:rPr>
              <w:t> </w:t>
            </w:r>
            <w:r w:rsidRPr="00560E8C">
              <w:rPr>
                <w:rStyle w:val="Fuerte"/>
                <w:color w:val="000000"/>
                <w:sz w:val="21"/>
                <w:szCs w:val="21"/>
              </w:rPr>
              <w:t>sus propios aranceles</w:t>
            </w:r>
            <w:r w:rsidRPr="00560E8C">
              <w:rPr>
                <w:rStyle w:val="apple-converted-space"/>
                <w:color w:val="000000"/>
                <w:sz w:val="21"/>
                <w:szCs w:val="21"/>
              </w:rPr>
              <w:t> </w:t>
            </w:r>
            <w:r w:rsidRPr="00560E8C">
              <w:rPr>
                <w:color w:val="000000"/>
                <w:sz w:val="21"/>
                <w:szCs w:val="21"/>
              </w:rPr>
              <w:t>frente al resto del mundo.</w:t>
            </w:r>
          </w:p>
        </w:tc>
        <w:tc>
          <w:tcPr>
            <w:tcW w:w="2589" w:type="dxa"/>
            <w:vAlign w:val="center"/>
            <w:hideMark/>
          </w:tcPr>
          <w:p w14:paraId="6EF8B029" w14:textId="77777777" w:rsidR="00271B89" w:rsidRPr="00560E8C" w:rsidRDefault="00271B89" w:rsidP="006C1E85">
            <w:pPr>
              <w:rPr>
                <w:color w:val="000000"/>
                <w:sz w:val="21"/>
                <w:szCs w:val="21"/>
              </w:rPr>
            </w:pPr>
            <w:r w:rsidRPr="00560E8C">
              <w:rPr>
                <w:color w:val="000000"/>
                <w:sz w:val="21"/>
                <w:szCs w:val="21"/>
              </w:rPr>
              <w:t>Reglas de origen para evitar que terceros usen el país de menor arancel. Puede generar desviación de comercio (como vimos en la explicación anterior).</w:t>
            </w:r>
          </w:p>
        </w:tc>
        <w:tc>
          <w:tcPr>
            <w:tcW w:w="0" w:type="auto"/>
            <w:vAlign w:val="center"/>
            <w:hideMark/>
          </w:tcPr>
          <w:p w14:paraId="558B11F3" w14:textId="77777777" w:rsidR="00271B89" w:rsidRPr="00560E8C" w:rsidRDefault="00271B89" w:rsidP="006C1E85">
            <w:pPr>
              <w:rPr>
                <w:color w:val="000000"/>
                <w:sz w:val="21"/>
                <w:szCs w:val="21"/>
              </w:rPr>
            </w:pPr>
            <w:r w:rsidRPr="00560E8C">
              <w:rPr>
                <w:color w:val="000000"/>
                <w:sz w:val="21"/>
                <w:szCs w:val="21"/>
              </w:rPr>
              <w:t>TLCAN / USMCA (México-EE.UU.-Canadá), Mercosur (en su etapa inicial), ASEAN, RCEP.</w:t>
            </w:r>
          </w:p>
        </w:tc>
      </w:tr>
      <w:tr w:rsidR="00271B89" w:rsidRPr="00560E8C" w14:paraId="01DE00D8" w14:textId="77777777" w:rsidTr="006C1E8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1B812F7" w14:textId="77777777" w:rsidR="00271B89" w:rsidRPr="00560E8C" w:rsidRDefault="00271B89" w:rsidP="006C1E85">
            <w:pPr>
              <w:rPr>
                <w:color w:val="000000"/>
                <w:sz w:val="21"/>
                <w:szCs w:val="21"/>
              </w:rPr>
            </w:pPr>
            <w:r w:rsidRPr="00560E8C">
              <w:rPr>
                <w:rStyle w:val="Fuerte"/>
                <w:color w:val="000000"/>
                <w:sz w:val="21"/>
                <w:szCs w:val="21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1DBC6E77" w14:textId="77777777" w:rsidR="00271B89" w:rsidRPr="00560E8C" w:rsidRDefault="00271B89" w:rsidP="006C1E85">
            <w:pPr>
              <w:rPr>
                <w:color w:val="000000"/>
                <w:sz w:val="21"/>
                <w:szCs w:val="21"/>
              </w:rPr>
            </w:pPr>
            <w:r w:rsidRPr="00560E8C">
              <w:rPr>
                <w:rStyle w:val="Fuerte"/>
                <w:color w:val="000000"/>
                <w:sz w:val="21"/>
                <w:szCs w:val="21"/>
              </w:rPr>
              <w:t>Unión Aduanera (Customs Union)</w:t>
            </w:r>
          </w:p>
        </w:tc>
        <w:tc>
          <w:tcPr>
            <w:tcW w:w="2269" w:type="dxa"/>
            <w:vAlign w:val="center"/>
            <w:hideMark/>
          </w:tcPr>
          <w:p w14:paraId="60E691D0" w14:textId="77777777" w:rsidR="00271B89" w:rsidRPr="00560E8C" w:rsidRDefault="00271B89" w:rsidP="006C1E85">
            <w:pPr>
              <w:rPr>
                <w:color w:val="000000"/>
                <w:sz w:val="21"/>
                <w:szCs w:val="21"/>
              </w:rPr>
            </w:pPr>
            <w:r w:rsidRPr="00560E8C">
              <w:rPr>
                <w:color w:val="000000"/>
                <w:sz w:val="21"/>
                <w:szCs w:val="21"/>
              </w:rPr>
              <w:t>Todo lo de la Zona de Libre Comercio</w:t>
            </w:r>
            <w:r w:rsidRPr="00560E8C">
              <w:rPr>
                <w:rStyle w:val="apple-converted-space"/>
                <w:color w:val="000000"/>
                <w:sz w:val="21"/>
                <w:szCs w:val="21"/>
              </w:rPr>
              <w:t> </w:t>
            </w:r>
            <w:r w:rsidRPr="00560E8C">
              <w:rPr>
                <w:rStyle w:val="Fuerte"/>
                <w:color w:val="000000"/>
                <w:sz w:val="21"/>
                <w:szCs w:val="21"/>
              </w:rPr>
              <w:t>+</w:t>
            </w:r>
            <w:r w:rsidRPr="00560E8C">
              <w:rPr>
                <w:rStyle w:val="apple-converted-space"/>
                <w:color w:val="000000"/>
                <w:sz w:val="21"/>
                <w:szCs w:val="21"/>
              </w:rPr>
              <w:t> </w:t>
            </w:r>
            <w:r w:rsidRPr="00560E8C">
              <w:rPr>
                <w:color w:val="000000"/>
                <w:sz w:val="21"/>
                <w:szCs w:val="21"/>
              </w:rPr>
              <w:t>arancel externo común frente a terceros países.</w:t>
            </w:r>
          </w:p>
        </w:tc>
        <w:tc>
          <w:tcPr>
            <w:tcW w:w="2589" w:type="dxa"/>
            <w:vAlign w:val="center"/>
            <w:hideMark/>
          </w:tcPr>
          <w:p w14:paraId="0874B674" w14:textId="77777777" w:rsidR="00271B89" w:rsidRPr="00560E8C" w:rsidRDefault="00271B89" w:rsidP="006C1E85">
            <w:pPr>
              <w:rPr>
                <w:color w:val="000000"/>
                <w:sz w:val="21"/>
                <w:szCs w:val="21"/>
              </w:rPr>
            </w:pPr>
            <w:r w:rsidRPr="00560E8C">
              <w:rPr>
                <w:color w:val="000000"/>
                <w:sz w:val="21"/>
                <w:szCs w:val="21"/>
              </w:rPr>
              <w:t>Política comercial común hacia el exterior. Mayor coordinación y menos desviación de comercio.</w:t>
            </w:r>
          </w:p>
        </w:tc>
        <w:tc>
          <w:tcPr>
            <w:tcW w:w="0" w:type="auto"/>
            <w:vAlign w:val="center"/>
            <w:hideMark/>
          </w:tcPr>
          <w:p w14:paraId="0088241C" w14:textId="77777777" w:rsidR="00271B89" w:rsidRPr="00560E8C" w:rsidRDefault="00271B89" w:rsidP="006C1E85">
            <w:pPr>
              <w:rPr>
                <w:color w:val="000000"/>
                <w:sz w:val="21"/>
                <w:szCs w:val="21"/>
              </w:rPr>
            </w:pPr>
            <w:r w:rsidRPr="00560E8C">
              <w:rPr>
                <w:color w:val="000000"/>
                <w:sz w:val="21"/>
                <w:szCs w:val="21"/>
              </w:rPr>
              <w:t>Mercosur (actualmente es una unión aduanera imperfecta), Unión Aduanera de África del Sur (SACU), Unión Aduanera de Turquía con la UE.</w:t>
            </w:r>
          </w:p>
        </w:tc>
      </w:tr>
      <w:tr w:rsidR="00271B89" w:rsidRPr="00560E8C" w14:paraId="1EF07548" w14:textId="77777777" w:rsidTr="006C1E8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CD31A90" w14:textId="77777777" w:rsidR="00271B89" w:rsidRPr="00560E8C" w:rsidRDefault="00271B89" w:rsidP="006C1E85">
            <w:pPr>
              <w:rPr>
                <w:color w:val="000000"/>
                <w:sz w:val="21"/>
                <w:szCs w:val="21"/>
              </w:rPr>
            </w:pPr>
            <w:r w:rsidRPr="00560E8C">
              <w:rPr>
                <w:rStyle w:val="Fuerte"/>
                <w:color w:val="000000"/>
                <w:sz w:val="21"/>
                <w:szCs w:val="21"/>
              </w:rPr>
              <w:lastRenderedPageBreak/>
              <w:t>4</w:t>
            </w:r>
          </w:p>
        </w:tc>
        <w:tc>
          <w:tcPr>
            <w:tcW w:w="0" w:type="auto"/>
            <w:vAlign w:val="center"/>
            <w:hideMark/>
          </w:tcPr>
          <w:p w14:paraId="09AEDF37" w14:textId="77777777" w:rsidR="00271B89" w:rsidRPr="00560E8C" w:rsidRDefault="00271B89" w:rsidP="006C1E85">
            <w:pPr>
              <w:rPr>
                <w:color w:val="000000"/>
                <w:sz w:val="21"/>
                <w:szCs w:val="21"/>
              </w:rPr>
            </w:pPr>
            <w:r w:rsidRPr="00560E8C">
              <w:rPr>
                <w:rStyle w:val="Fuerte"/>
                <w:color w:val="000000"/>
                <w:sz w:val="21"/>
                <w:szCs w:val="21"/>
              </w:rPr>
              <w:t>Mercado Común (Common Market)</w:t>
            </w:r>
          </w:p>
        </w:tc>
        <w:tc>
          <w:tcPr>
            <w:tcW w:w="2269" w:type="dxa"/>
            <w:vAlign w:val="center"/>
            <w:hideMark/>
          </w:tcPr>
          <w:p w14:paraId="14B6047E" w14:textId="77777777" w:rsidR="00271B89" w:rsidRPr="00560E8C" w:rsidRDefault="00271B89" w:rsidP="006C1E85">
            <w:pPr>
              <w:rPr>
                <w:color w:val="000000"/>
                <w:sz w:val="21"/>
                <w:szCs w:val="21"/>
              </w:rPr>
            </w:pPr>
            <w:r w:rsidRPr="00560E8C">
              <w:rPr>
                <w:color w:val="000000"/>
                <w:sz w:val="21"/>
                <w:szCs w:val="21"/>
              </w:rPr>
              <w:t>Unión Aduanera</w:t>
            </w:r>
            <w:r w:rsidRPr="00560E8C">
              <w:rPr>
                <w:rStyle w:val="apple-converted-space"/>
                <w:color w:val="000000"/>
                <w:sz w:val="21"/>
                <w:szCs w:val="21"/>
              </w:rPr>
              <w:t> </w:t>
            </w:r>
            <w:r w:rsidRPr="00560E8C">
              <w:rPr>
                <w:rStyle w:val="Fuerte"/>
                <w:color w:val="000000"/>
                <w:sz w:val="21"/>
                <w:szCs w:val="21"/>
              </w:rPr>
              <w:t>+</w:t>
            </w:r>
            <w:r w:rsidRPr="00560E8C">
              <w:rPr>
                <w:rStyle w:val="apple-converted-space"/>
                <w:color w:val="000000"/>
                <w:sz w:val="21"/>
                <w:szCs w:val="21"/>
              </w:rPr>
              <w:t> </w:t>
            </w:r>
            <w:r w:rsidRPr="00560E8C">
              <w:rPr>
                <w:color w:val="000000"/>
                <w:sz w:val="21"/>
                <w:szCs w:val="21"/>
              </w:rPr>
              <w:t>libre movilidad de factores de producción (trabajadores y capital).</w:t>
            </w:r>
          </w:p>
        </w:tc>
        <w:tc>
          <w:tcPr>
            <w:tcW w:w="2589" w:type="dxa"/>
            <w:vAlign w:val="center"/>
            <w:hideMark/>
          </w:tcPr>
          <w:p w14:paraId="25D72280" w14:textId="77777777" w:rsidR="00271B89" w:rsidRPr="00560E8C" w:rsidRDefault="00271B89" w:rsidP="006C1E85">
            <w:pPr>
              <w:rPr>
                <w:color w:val="000000"/>
                <w:sz w:val="21"/>
                <w:szCs w:val="21"/>
              </w:rPr>
            </w:pPr>
            <w:r w:rsidRPr="00560E8C">
              <w:rPr>
                <w:color w:val="000000"/>
                <w:sz w:val="21"/>
                <w:szCs w:val="21"/>
              </w:rPr>
              <w:t>Se permite que personas y empresas se muevan libremente entre países. Requiere armonización de normas laborales, ambientales y de competencia.</w:t>
            </w:r>
          </w:p>
        </w:tc>
        <w:tc>
          <w:tcPr>
            <w:tcW w:w="0" w:type="auto"/>
            <w:vAlign w:val="center"/>
            <w:hideMark/>
          </w:tcPr>
          <w:p w14:paraId="49536257" w14:textId="77777777" w:rsidR="00271B89" w:rsidRPr="00560E8C" w:rsidRDefault="00271B89" w:rsidP="006C1E85">
            <w:pPr>
              <w:rPr>
                <w:color w:val="000000"/>
                <w:sz w:val="21"/>
                <w:szCs w:val="21"/>
              </w:rPr>
            </w:pPr>
            <w:r w:rsidRPr="00560E8C">
              <w:rPr>
                <w:color w:val="000000"/>
                <w:sz w:val="21"/>
                <w:szCs w:val="21"/>
              </w:rPr>
              <w:t>Unión Europea antes de 1993 (Mercado Único), Mercado Común del Sur (Mercosur en aspiración), CARICOM.</w:t>
            </w:r>
          </w:p>
        </w:tc>
      </w:tr>
      <w:tr w:rsidR="00271B89" w:rsidRPr="00560E8C" w14:paraId="33A0178B" w14:textId="77777777" w:rsidTr="006C1E8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9CFFE30" w14:textId="77777777" w:rsidR="00271B89" w:rsidRPr="00560E8C" w:rsidRDefault="00271B89" w:rsidP="006C1E85">
            <w:pPr>
              <w:rPr>
                <w:color w:val="000000"/>
                <w:sz w:val="21"/>
                <w:szCs w:val="21"/>
              </w:rPr>
            </w:pPr>
            <w:r w:rsidRPr="00560E8C">
              <w:rPr>
                <w:rStyle w:val="Fuerte"/>
                <w:color w:val="000000"/>
                <w:sz w:val="21"/>
                <w:szCs w:val="21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0B571F4E" w14:textId="77777777" w:rsidR="00271B89" w:rsidRPr="00560E8C" w:rsidRDefault="00271B89" w:rsidP="006C1E85">
            <w:pPr>
              <w:rPr>
                <w:color w:val="000000"/>
                <w:sz w:val="21"/>
                <w:szCs w:val="21"/>
              </w:rPr>
            </w:pPr>
            <w:r w:rsidRPr="00560E8C">
              <w:rPr>
                <w:rStyle w:val="Fuerte"/>
                <w:color w:val="000000"/>
                <w:sz w:val="21"/>
                <w:szCs w:val="21"/>
              </w:rPr>
              <w:t>Unión Económica (Economic Union)</w:t>
            </w:r>
          </w:p>
        </w:tc>
        <w:tc>
          <w:tcPr>
            <w:tcW w:w="2269" w:type="dxa"/>
            <w:vAlign w:val="center"/>
            <w:hideMark/>
          </w:tcPr>
          <w:p w14:paraId="285898BA" w14:textId="77777777" w:rsidR="00271B89" w:rsidRPr="00560E8C" w:rsidRDefault="00271B89" w:rsidP="006C1E85">
            <w:pPr>
              <w:rPr>
                <w:color w:val="000000"/>
                <w:sz w:val="21"/>
                <w:szCs w:val="21"/>
              </w:rPr>
            </w:pPr>
            <w:r w:rsidRPr="00560E8C">
              <w:rPr>
                <w:color w:val="000000"/>
                <w:sz w:val="21"/>
                <w:szCs w:val="21"/>
              </w:rPr>
              <w:t>Mercado Común</w:t>
            </w:r>
            <w:r w:rsidRPr="00560E8C">
              <w:rPr>
                <w:rStyle w:val="apple-converted-space"/>
                <w:color w:val="000000"/>
                <w:sz w:val="21"/>
                <w:szCs w:val="21"/>
              </w:rPr>
              <w:t> </w:t>
            </w:r>
            <w:r w:rsidRPr="00560E8C">
              <w:rPr>
                <w:rStyle w:val="Fuerte"/>
                <w:color w:val="000000"/>
                <w:sz w:val="21"/>
                <w:szCs w:val="21"/>
              </w:rPr>
              <w:t>+</w:t>
            </w:r>
            <w:r w:rsidRPr="00560E8C">
              <w:rPr>
                <w:color w:val="000000"/>
                <w:sz w:val="21"/>
                <w:szCs w:val="21"/>
              </w:rPr>
              <w:t>coordinación o unificación de políticas macroeconómicas (fiscal, monetaria, presupuestaria, etc.).</w:t>
            </w:r>
          </w:p>
        </w:tc>
        <w:tc>
          <w:tcPr>
            <w:tcW w:w="2589" w:type="dxa"/>
            <w:vAlign w:val="center"/>
            <w:hideMark/>
          </w:tcPr>
          <w:p w14:paraId="69E7E38C" w14:textId="77777777" w:rsidR="00271B89" w:rsidRPr="00560E8C" w:rsidRDefault="00271B89" w:rsidP="006C1E85">
            <w:pPr>
              <w:rPr>
                <w:color w:val="000000"/>
                <w:sz w:val="21"/>
                <w:szCs w:val="21"/>
              </w:rPr>
            </w:pPr>
            <w:r w:rsidRPr="00560E8C">
              <w:rPr>
                <w:color w:val="000000"/>
                <w:sz w:val="21"/>
                <w:szCs w:val="21"/>
              </w:rPr>
              <w:t>Países comparten políticas comunes (ej. reglas fiscales comunes, competencia, transporte). A veces se llama “Unión Económica y Monetaria” cuando incluye moneda.</w:t>
            </w:r>
          </w:p>
        </w:tc>
        <w:tc>
          <w:tcPr>
            <w:tcW w:w="0" w:type="auto"/>
            <w:vAlign w:val="center"/>
            <w:hideMark/>
          </w:tcPr>
          <w:p w14:paraId="001152BF" w14:textId="77777777" w:rsidR="00271B89" w:rsidRPr="00560E8C" w:rsidRDefault="00271B89" w:rsidP="006C1E85">
            <w:pPr>
              <w:rPr>
                <w:color w:val="000000"/>
                <w:sz w:val="21"/>
                <w:szCs w:val="21"/>
              </w:rPr>
            </w:pPr>
            <w:r w:rsidRPr="00560E8C">
              <w:rPr>
                <w:color w:val="000000"/>
                <w:sz w:val="21"/>
                <w:szCs w:val="21"/>
              </w:rPr>
              <w:t>Unión Europea actual (con el euro en la zona euro), Unión Económica Euroasiática (EAEU).</w:t>
            </w:r>
          </w:p>
        </w:tc>
      </w:tr>
      <w:tr w:rsidR="00271B89" w:rsidRPr="00560E8C" w14:paraId="7C523C04" w14:textId="77777777" w:rsidTr="006C1E8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FB40525" w14:textId="77777777" w:rsidR="00271B89" w:rsidRPr="00560E8C" w:rsidRDefault="00271B89" w:rsidP="006C1E85">
            <w:pPr>
              <w:rPr>
                <w:color w:val="000000"/>
                <w:sz w:val="21"/>
                <w:szCs w:val="21"/>
              </w:rPr>
            </w:pPr>
            <w:r w:rsidRPr="00560E8C">
              <w:rPr>
                <w:rStyle w:val="Fuerte"/>
                <w:color w:val="000000"/>
                <w:sz w:val="21"/>
                <w:szCs w:val="21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58360ECB" w14:textId="77777777" w:rsidR="00271B89" w:rsidRPr="00560E8C" w:rsidRDefault="00271B89" w:rsidP="006C1E85">
            <w:pPr>
              <w:rPr>
                <w:color w:val="000000"/>
                <w:sz w:val="21"/>
                <w:szCs w:val="21"/>
              </w:rPr>
            </w:pPr>
            <w:r w:rsidRPr="00560E8C">
              <w:rPr>
                <w:rStyle w:val="Fuerte"/>
                <w:color w:val="000000"/>
                <w:sz w:val="21"/>
                <w:szCs w:val="21"/>
              </w:rPr>
              <w:t>Unión Monetaria / Integración Económica Completa</w:t>
            </w:r>
          </w:p>
        </w:tc>
        <w:tc>
          <w:tcPr>
            <w:tcW w:w="2269" w:type="dxa"/>
            <w:vAlign w:val="center"/>
            <w:hideMark/>
          </w:tcPr>
          <w:p w14:paraId="2CE25DFC" w14:textId="77777777" w:rsidR="00271B89" w:rsidRPr="00560E8C" w:rsidRDefault="00271B89" w:rsidP="006C1E85">
            <w:pPr>
              <w:rPr>
                <w:color w:val="000000"/>
                <w:sz w:val="21"/>
                <w:szCs w:val="21"/>
              </w:rPr>
            </w:pPr>
            <w:r w:rsidRPr="00560E8C">
              <w:rPr>
                <w:color w:val="000000"/>
                <w:sz w:val="21"/>
                <w:szCs w:val="21"/>
              </w:rPr>
              <w:t>Unión Económica</w:t>
            </w:r>
            <w:r w:rsidRPr="00560E8C">
              <w:rPr>
                <w:rStyle w:val="apple-converted-space"/>
                <w:color w:val="000000"/>
                <w:sz w:val="21"/>
                <w:szCs w:val="21"/>
              </w:rPr>
              <w:t> </w:t>
            </w:r>
            <w:r w:rsidRPr="00560E8C">
              <w:rPr>
                <w:rStyle w:val="Fuerte"/>
                <w:color w:val="000000"/>
                <w:sz w:val="21"/>
                <w:szCs w:val="21"/>
              </w:rPr>
              <w:t>+</w:t>
            </w:r>
            <w:r w:rsidRPr="00560E8C">
              <w:rPr>
                <w:rStyle w:val="apple-converted-space"/>
                <w:color w:val="000000"/>
                <w:sz w:val="21"/>
                <w:szCs w:val="21"/>
              </w:rPr>
              <w:t> </w:t>
            </w:r>
            <w:r w:rsidRPr="00560E8C">
              <w:rPr>
                <w:color w:val="000000"/>
                <w:sz w:val="21"/>
                <w:szCs w:val="21"/>
              </w:rPr>
              <w:t>moneda única y banco central común (o incluso unión política).</w:t>
            </w:r>
          </w:p>
        </w:tc>
        <w:tc>
          <w:tcPr>
            <w:tcW w:w="2589" w:type="dxa"/>
            <w:vAlign w:val="center"/>
            <w:hideMark/>
          </w:tcPr>
          <w:p w14:paraId="033C5708" w14:textId="77777777" w:rsidR="00271B89" w:rsidRPr="00560E8C" w:rsidRDefault="00271B89" w:rsidP="006C1E85">
            <w:pPr>
              <w:rPr>
                <w:color w:val="000000"/>
                <w:sz w:val="21"/>
                <w:szCs w:val="21"/>
              </w:rPr>
            </w:pPr>
            <w:r w:rsidRPr="00560E8C">
              <w:rPr>
                <w:color w:val="000000"/>
                <w:sz w:val="21"/>
                <w:szCs w:val="21"/>
              </w:rPr>
              <w:t>Pérdida total de soberanía monetaria. Máximo nivel de integración.</w:t>
            </w:r>
          </w:p>
        </w:tc>
        <w:tc>
          <w:tcPr>
            <w:tcW w:w="0" w:type="auto"/>
            <w:vAlign w:val="center"/>
            <w:hideMark/>
          </w:tcPr>
          <w:p w14:paraId="3CE37026" w14:textId="77777777" w:rsidR="00271B89" w:rsidRPr="00560E8C" w:rsidRDefault="00271B89" w:rsidP="006C1E85">
            <w:pPr>
              <w:rPr>
                <w:color w:val="000000"/>
                <w:sz w:val="21"/>
                <w:szCs w:val="21"/>
              </w:rPr>
            </w:pPr>
            <w:r w:rsidRPr="00560E8C">
              <w:rPr>
                <w:rStyle w:val="Fuerte"/>
                <w:color w:val="000000"/>
                <w:sz w:val="21"/>
                <w:szCs w:val="21"/>
              </w:rPr>
              <w:t>Zona Euro</w:t>
            </w:r>
            <w:r w:rsidRPr="00560E8C">
              <w:rPr>
                <w:rStyle w:val="apple-converted-space"/>
                <w:color w:val="000000"/>
                <w:sz w:val="21"/>
                <w:szCs w:val="21"/>
              </w:rPr>
              <w:t> </w:t>
            </w:r>
            <w:r w:rsidRPr="00560E8C">
              <w:rPr>
                <w:color w:val="000000"/>
                <w:sz w:val="21"/>
                <w:szCs w:val="21"/>
              </w:rPr>
              <w:t>(19 países de la UE con el euro y el BCE), Estados Unidos (integración completa entre sus estados).</w:t>
            </w:r>
          </w:p>
        </w:tc>
      </w:tr>
    </w:tbl>
    <w:p w14:paraId="0C5BBC2E" w14:textId="77777777" w:rsidR="00271B89" w:rsidRDefault="00271B89" w:rsidP="00271B89">
      <w:pPr>
        <w:spacing w:before="100" w:beforeAutospacing="1" w:after="100" w:afterAutospacing="1"/>
        <w:outlineLvl w:val="1"/>
        <w:rPr>
          <w:b/>
          <w:bCs/>
          <w:color w:val="000000"/>
          <w:sz w:val="22"/>
          <w:szCs w:val="22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255"/>
        <w:gridCol w:w="1353"/>
        <w:gridCol w:w="1241"/>
        <w:gridCol w:w="1260"/>
        <w:gridCol w:w="1256"/>
        <w:gridCol w:w="1304"/>
      </w:tblGrid>
      <w:tr w:rsidR="00271B89" w14:paraId="244DBEB6" w14:textId="77777777" w:rsidTr="006C1E85">
        <w:trPr>
          <w:jc w:val="center"/>
        </w:trPr>
        <w:tc>
          <w:tcPr>
            <w:tcW w:w="1255" w:type="dxa"/>
          </w:tcPr>
          <w:p w14:paraId="364EDB59" w14:textId="77777777" w:rsidR="00271B89" w:rsidRDefault="00271B89" w:rsidP="006C1E85">
            <w:pPr>
              <w:spacing w:before="100" w:beforeAutospacing="1" w:after="100" w:afterAutospacing="1"/>
              <w:outlineLvl w:val="1"/>
              <w:rPr>
                <w:b/>
                <w:bCs/>
                <w:color w:val="000000"/>
                <w:sz w:val="22"/>
                <w:szCs w:val="22"/>
              </w:rPr>
            </w:pPr>
            <w:r w:rsidRPr="00560E8C">
              <w:rPr>
                <w:b/>
                <w:bCs/>
                <w:color w:val="000000"/>
                <w:sz w:val="22"/>
                <w:szCs w:val="22"/>
              </w:rPr>
              <w:t>Zona de Libre Comercio</w:t>
            </w:r>
          </w:p>
        </w:tc>
        <w:tc>
          <w:tcPr>
            <w:tcW w:w="1353" w:type="dxa"/>
          </w:tcPr>
          <w:p w14:paraId="0A41A660" w14:textId="77777777" w:rsidR="00271B89" w:rsidRDefault="00271B89" w:rsidP="006C1E85">
            <w:pPr>
              <w:spacing w:before="100" w:beforeAutospacing="1" w:after="100" w:afterAutospacing="1"/>
              <w:outlineLvl w:val="1"/>
              <w:rPr>
                <w:b/>
                <w:bCs/>
                <w:color w:val="000000"/>
                <w:sz w:val="22"/>
                <w:szCs w:val="22"/>
              </w:rPr>
            </w:pPr>
            <w:r w:rsidRPr="00560E8C">
              <w:rPr>
                <w:b/>
                <w:bCs/>
                <w:color w:val="000000"/>
                <w:sz w:val="22"/>
                <w:szCs w:val="22"/>
              </w:rPr>
              <w:t>Unión Aduanera</w:t>
            </w:r>
          </w:p>
        </w:tc>
        <w:tc>
          <w:tcPr>
            <w:tcW w:w="1241" w:type="dxa"/>
          </w:tcPr>
          <w:p w14:paraId="13985777" w14:textId="77777777" w:rsidR="00271B89" w:rsidRDefault="00271B89" w:rsidP="006C1E85">
            <w:pPr>
              <w:spacing w:before="100" w:beforeAutospacing="1" w:after="100" w:afterAutospacing="1"/>
              <w:outlineLvl w:val="1"/>
              <w:rPr>
                <w:b/>
                <w:bCs/>
                <w:color w:val="000000"/>
                <w:sz w:val="22"/>
                <w:szCs w:val="22"/>
              </w:rPr>
            </w:pPr>
            <w:r w:rsidRPr="00560E8C">
              <w:rPr>
                <w:b/>
                <w:bCs/>
                <w:color w:val="000000"/>
                <w:sz w:val="22"/>
                <w:szCs w:val="22"/>
              </w:rPr>
              <w:t>Mercado Común</w:t>
            </w:r>
          </w:p>
        </w:tc>
        <w:tc>
          <w:tcPr>
            <w:tcW w:w="1260" w:type="dxa"/>
          </w:tcPr>
          <w:p w14:paraId="5660389C" w14:textId="77777777" w:rsidR="00271B89" w:rsidRDefault="00271B89" w:rsidP="006C1E85">
            <w:pPr>
              <w:spacing w:before="100" w:beforeAutospacing="1" w:after="100" w:afterAutospacing="1"/>
              <w:outlineLvl w:val="1"/>
              <w:rPr>
                <w:b/>
                <w:bCs/>
                <w:color w:val="000000"/>
                <w:sz w:val="22"/>
                <w:szCs w:val="22"/>
              </w:rPr>
            </w:pPr>
            <w:r w:rsidRPr="00560E8C">
              <w:rPr>
                <w:b/>
                <w:bCs/>
                <w:color w:val="000000"/>
                <w:sz w:val="22"/>
                <w:szCs w:val="22"/>
              </w:rPr>
              <w:t>Unión Económica</w:t>
            </w:r>
          </w:p>
        </w:tc>
        <w:tc>
          <w:tcPr>
            <w:tcW w:w="1256" w:type="dxa"/>
          </w:tcPr>
          <w:p w14:paraId="4468A458" w14:textId="77777777" w:rsidR="00271B89" w:rsidRDefault="00271B89" w:rsidP="006C1E85">
            <w:pPr>
              <w:spacing w:before="100" w:beforeAutospacing="1" w:after="100" w:afterAutospacing="1"/>
              <w:outlineLvl w:val="1"/>
              <w:rPr>
                <w:b/>
                <w:bCs/>
                <w:color w:val="000000"/>
                <w:sz w:val="22"/>
                <w:szCs w:val="22"/>
              </w:rPr>
            </w:pPr>
            <w:r w:rsidRPr="00560E8C">
              <w:rPr>
                <w:b/>
                <w:bCs/>
                <w:color w:val="000000"/>
                <w:sz w:val="22"/>
                <w:szCs w:val="22"/>
              </w:rPr>
              <w:t>Unión Monetaria</w:t>
            </w:r>
          </w:p>
        </w:tc>
        <w:tc>
          <w:tcPr>
            <w:tcW w:w="1304" w:type="dxa"/>
          </w:tcPr>
          <w:p w14:paraId="7D759E7B" w14:textId="77777777" w:rsidR="00271B89" w:rsidRDefault="00271B89" w:rsidP="006C1E85">
            <w:pPr>
              <w:spacing w:before="100" w:beforeAutospacing="1" w:after="100" w:afterAutospacing="1"/>
              <w:outlineLvl w:val="1"/>
              <w:rPr>
                <w:b/>
                <w:bCs/>
                <w:color w:val="000000"/>
                <w:sz w:val="22"/>
                <w:szCs w:val="22"/>
              </w:rPr>
            </w:pPr>
            <w:r w:rsidRPr="00560E8C">
              <w:rPr>
                <w:b/>
                <w:bCs/>
                <w:color w:val="000000"/>
                <w:sz w:val="22"/>
                <w:szCs w:val="22"/>
              </w:rPr>
              <w:t>Integración Total</w:t>
            </w:r>
          </w:p>
        </w:tc>
      </w:tr>
      <w:tr w:rsidR="00271B89" w14:paraId="56797FF1" w14:textId="77777777" w:rsidTr="006C1E85">
        <w:trPr>
          <w:jc w:val="center"/>
        </w:trPr>
        <w:tc>
          <w:tcPr>
            <w:tcW w:w="1255" w:type="dxa"/>
          </w:tcPr>
          <w:p w14:paraId="559A007E" w14:textId="77777777" w:rsidR="00271B89" w:rsidRDefault="00271B89" w:rsidP="006C1E85">
            <w:pPr>
              <w:spacing w:before="100" w:beforeAutospacing="1" w:after="100" w:afterAutospacing="1"/>
              <w:outlineLvl w:val="1"/>
              <w:rPr>
                <w:b/>
                <w:bCs/>
                <w:color w:val="000000"/>
                <w:sz w:val="22"/>
                <w:szCs w:val="22"/>
              </w:rPr>
            </w:pPr>
            <w:r w:rsidRPr="00560E8C">
              <w:rPr>
                <w:b/>
                <w:bCs/>
                <w:color w:val="000000"/>
                <w:sz w:val="22"/>
                <w:szCs w:val="22"/>
              </w:rPr>
              <w:t xml:space="preserve">Reducción parcial     </w:t>
            </w:r>
          </w:p>
        </w:tc>
        <w:tc>
          <w:tcPr>
            <w:tcW w:w="1353" w:type="dxa"/>
          </w:tcPr>
          <w:p w14:paraId="1011BA58" w14:textId="77777777" w:rsidR="00271B89" w:rsidRDefault="00271B89" w:rsidP="006C1E85">
            <w:pPr>
              <w:spacing w:before="100" w:beforeAutospacing="1" w:after="100" w:afterAutospacing="1"/>
              <w:outlineLvl w:val="1"/>
              <w:rPr>
                <w:b/>
                <w:bCs/>
                <w:color w:val="000000"/>
                <w:sz w:val="22"/>
                <w:szCs w:val="22"/>
              </w:rPr>
            </w:pPr>
            <w:r w:rsidRPr="00560E8C">
              <w:rPr>
                <w:b/>
                <w:bCs/>
                <w:color w:val="000000"/>
                <w:sz w:val="22"/>
                <w:szCs w:val="22"/>
              </w:rPr>
              <w:t xml:space="preserve">Eliminación aranceles   </w:t>
            </w:r>
          </w:p>
        </w:tc>
        <w:tc>
          <w:tcPr>
            <w:tcW w:w="1241" w:type="dxa"/>
          </w:tcPr>
          <w:p w14:paraId="132669E9" w14:textId="77777777" w:rsidR="00271B89" w:rsidRDefault="00271B89" w:rsidP="006C1E85">
            <w:pPr>
              <w:spacing w:before="100" w:beforeAutospacing="1" w:after="100" w:afterAutospacing="1"/>
              <w:outlineLvl w:val="1"/>
              <w:rPr>
                <w:b/>
                <w:bCs/>
                <w:color w:val="000000"/>
                <w:sz w:val="22"/>
                <w:szCs w:val="22"/>
              </w:rPr>
            </w:pPr>
            <w:r w:rsidRPr="00560E8C">
              <w:rPr>
                <w:b/>
                <w:bCs/>
                <w:color w:val="000000"/>
                <w:sz w:val="22"/>
                <w:szCs w:val="22"/>
              </w:rPr>
              <w:t xml:space="preserve">Arancel común     </w:t>
            </w:r>
          </w:p>
        </w:tc>
        <w:tc>
          <w:tcPr>
            <w:tcW w:w="1260" w:type="dxa"/>
          </w:tcPr>
          <w:p w14:paraId="43B9BC01" w14:textId="77777777" w:rsidR="00271B89" w:rsidRDefault="00271B89" w:rsidP="006C1E85">
            <w:pPr>
              <w:spacing w:before="100" w:beforeAutospacing="1" w:after="100" w:afterAutospacing="1"/>
              <w:outlineLvl w:val="1"/>
              <w:rPr>
                <w:b/>
                <w:bCs/>
                <w:color w:val="000000"/>
                <w:sz w:val="22"/>
                <w:szCs w:val="22"/>
              </w:rPr>
            </w:pPr>
            <w:r w:rsidRPr="00560E8C">
              <w:rPr>
                <w:b/>
                <w:bCs/>
                <w:color w:val="000000"/>
                <w:sz w:val="22"/>
                <w:szCs w:val="22"/>
              </w:rPr>
              <w:t xml:space="preserve">Movilidad factores   </w:t>
            </w:r>
          </w:p>
        </w:tc>
        <w:tc>
          <w:tcPr>
            <w:tcW w:w="1256" w:type="dxa"/>
          </w:tcPr>
          <w:p w14:paraId="476E3A38" w14:textId="77777777" w:rsidR="00271B89" w:rsidRDefault="00271B89" w:rsidP="006C1E85">
            <w:pPr>
              <w:spacing w:before="100" w:beforeAutospacing="1" w:after="100" w:afterAutospacing="1"/>
              <w:outlineLvl w:val="1"/>
              <w:rPr>
                <w:b/>
                <w:bCs/>
                <w:color w:val="000000"/>
                <w:sz w:val="22"/>
                <w:szCs w:val="22"/>
              </w:rPr>
            </w:pPr>
            <w:r w:rsidRPr="00560E8C">
              <w:rPr>
                <w:b/>
                <w:bCs/>
                <w:color w:val="000000"/>
                <w:sz w:val="22"/>
                <w:szCs w:val="22"/>
              </w:rPr>
              <w:t>Políticas comunes</w:t>
            </w:r>
          </w:p>
        </w:tc>
        <w:tc>
          <w:tcPr>
            <w:tcW w:w="1304" w:type="dxa"/>
          </w:tcPr>
          <w:p w14:paraId="6ABC5799" w14:textId="77777777" w:rsidR="00271B89" w:rsidRDefault="00271B89" w:rsidP="006C1E85">
            <w:pPr>
              <w:spacing w:before="100" w:beforeAutospacing="1" w:after="100" w:afterAutospacing="1"/>
              <w:outlineLvl w:val="1"/>
              <w:rPr>
                <w:b/>
                <w:bCs/>
                <w:color w:val="000000"/>
                <w:sz w:val="22"/>
                <w:szCs w:val="22"/>
              </w:rPr>
            </w:pPr>
            <w:r w:rsidRPr="00560E8C">
              <w:rPr>
                <w:b/>
                <w:bCs/>
                <w:color w:val="000000"/>
                <w:sz w:val="22"/>
                <w:szCs w:val="22"/>
              </w:rPr>
              <w:t>moneda única</w:t>
            </w:r>
          </w:p>
        </w:tc>
      </w:tr>
    </w:tbl>
    <w:p w14:paraId="7C02ABB2" w14:textId="77777777" w:rsidR="00271B89" w:rsidRPr="00C305AE" w:rsidRDefault="00271B89" w:rsidP="00271B89">
      <w:pPr>
        <w:spacing w:before="100" w:beforeAutospacing="1" w:after="100" w:afterAutospacing="1"/>
        <w:rPr>
          <w:color w:val="000000"/>
        </w:rPr>
      </w:pPr>
    </w:p>
    <w:p w14:paraId="3E7360B1" w14:textId="78051BCF" w:rsidR="00180EAF" w:rsidRDefault="00271B89" w:rsidP="00180EAF">
      <w:pPr>
        <w:spacing w:before="100" w:beforeAutospacing="1" w:after="100" w:afterAutospacing="1"/>
        <w:rPr>
          <w:color w:val="000000"/>
        </w:rPr>
      </w:pPr>
      <w:r w:rsidRPr="00C305AE">
        <w:rPr>
          <w:color w:val="000000"/>
        </w:rPr>
        <w:lastRenderedPageBreak/>
        <w:drawing>
          <wp:inline distT="0" distB="0" distL="0" distR="0" wp14:anchorId="7708D05A" wp14:editId="55E146FC">
            <wp:extent cx="5612130" cy="3136900"/>
            <wp:effectExtent l="0" t="0" r="1270" b="0"/>
            <wp:docPr id="11339681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96815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D309C" w14:textId="77777777" w:rsidR="00271B89" w:rsidRPr="00807DCC" w:rsidRDefault="00271B89" w:rsidP="00180EAF">
      <w:pPr>
        <w:spacing w:before="100" w:beforeAutospacing="1" w:after="100" w:afterAutospacing="1"/>
        <w:rPr>
          <w:color w:val="000000"/>
        </w:rPr>
      </w:pPr>
    </w:p>
    <w:p w14:paraId="0252EB09" w14:textId="03ABC6E7" w:rsidR="00807DCC" w:rsidRPr="00271B89" w:rsidRDefault="00271B89" w:rsidP="00271B89">
      <w:pPr>
        <w:pStyle w:val="Prrafodelista"/>
        <w:numPr>
          <w:ilvl w:val="0"/>
          <w:numId w:val="14"/>
        </w:numPr>
        <w:spacing w:before="100" w:beforeAutospacing="1" w:after="100" w:afterAutospacing="1"/>
        <w:rPr>
          <w:b/>
          <w:bCs/>
          <w:color w:val="000000"/>
        </w:rPr>
      </w:pPr>
      <w:r w:rsidRPr="00271B89">
        <w:rPr>
          <w:b/>
          <w:bCs/>
          <w:color w:val="000000"/>
        </w:rPr>
        <w:t>CONTEXTO: COMERCIO Y REGULACIONES GLOBALES</w:t>
      </w:r>
    </w:p>
    <w:p w14:paraId="6734B293" w14:textId="77777777" w:rsidR="00807DCC" w:rsidRPr="00807DCC" w:rsidRDefault="00807DCC" w:rsidP="00271B89">
      <w:pPr>
        <w:numPr>
          <w:ilvl w:val="0"/>
          <w:numId w:val="3"/>
        </w:numPr>
        <w:spacing w:before="100" w:beforeAutospacing="1" w:after="100" w:afterAutospacing="1"/>
        <w:jc w:val="both"/>
        <w:rPr>
          <w:color w:val="000000"/>
        </w:rPr>
      </w:pPr>
      <w:r w:rsidRPr="00807DCC">
        <w:rPr>
          <w:color w:val="000000"/>
        </w:rPr>
        <w:t>Con la expansión del comercio (OMC y acuerdos regionales), surgen conflictos sobre estándares laborales y ambientales.</w:t>
      </w:r>
    </w:p>
    <w:p w14:paraId="7A8ADB21" w14:textId="76A46156" w:rsidR="00560E8C" w:rsidRPr="00271B89" w:rsidRDefault="00807DCC" w:rsidP="00807DCC">
      <w:pPr>
        <w:pStyle w:val="Prrafodelista"/>
        <w:numPr>
          <w:ilvl w:val="0"/>
          <w:numId w:val="14"/>
        </w:numPr>
        <w:spacing w:before="100" w:beforeAutospacing="1" w:after="100" w:afterAutospacing="1"/>
        <w:rPr>
          <w:b/>
          <w:bCs/>
          <w:color w:val="000000"/>
        </w:rPr>
      </w:pPr>
      <w:r w:rsidRPr="00271B89">
        <w:rPr>
          <w:b/>
          <w:bCs/>
          <w:color w:val="000000"/>
        </w:rPr>
        <w:t>La OMC y los Acuerdos Multilaterales</w:t>
      </w:r>
    </w:p>
    <w:p w14:paraId="33862428" w14:textId="5B021921" w:rsidR="00560E8C" w:rsidRPr="00560E8C" w:rsidRDefault="00560E8C" w:rsidP="00807DCC">
      <w:pPr>
        <w:spacing w:before="100" w:beforeAutospacing="1" w:after="100" w:afterAutospacing="1"/>
        <w:rPr>
          <w:b/>
          <w:bCs/>
          <w:color w:val="000000"/>
          <w:sz w:val="28"/>
          <w:szCs w:val="28"/>
        </w:rPr>
      </w:pPr>
      <w:r w:rsidRPr="00560E8C">
        <w:rPr>
          <w:b/>
          <w:bCs/>
          <w:color w:val="000000"/>
          <w:sz w:val="28"/>
          <w:szCs w:val="28"/>
        </w:rPr>
        <w:t>Multilateral</w:t>
      </w:r>
    </w:p>
    <w:p w14:paraId="54BE9149" w14:textId="77777777" w:rsidR="00807DCC" w:rsidRPr="00807DCC" w:rsidRDefault="00807DCC" w:rsidP="00807DCC">
      <w:pPr>
        <w:numPr>
          <w:ilvl w:val="0"/>
          <w:numId w:val="4"/>
        </w:numPr>
        <w:spacing w:before="100" w:beforeAutospacing="1" w:after="100" w:afterAutospacing="1"/>
        <w:rPr>
          <w:color w:val="000000"/>
        </w:rPr>
      </w:pPr>
      <w:r w:rsidRPr="00807DCC">
        <w:rPr>
          <w:color w:val="000000"/>
        </w:rPr>
        <w:t>La OMC asegura “no discriminación” (cláusula de nación más favorecida).</w:t>
      </w:r>
    </w:p>
    <w:p w14:paraId="31EEF315" w14:textId="57CF2D8E" w:rsidR="00560E8C" w:rsidRPr="00C305AE" w:rsidRDefault="00807DCC" w:rsidP="00807DCC">
      <w:pPr>
        <w:numPr>
          <w:ilvl w:val="0"/>
          <w:numId w:val="4"/>
        </w:numPr>
        <w:spacing w:before="100" w:beforeAutospacing="1" w:after="100" w:afterAutospacing="1"/>
        <w:rPr>
          <w:color w:val="000000"/>
        </w:rPr>
      </w:pPr>
      <w:r w:rsidRPr="00807DCC">
        <w:rPr>
          <w:color w:val="000000"/>
        </w:rPr>
        <w:t>El GATT (Art. XX) permite excepciones para proteger salud, vida o recursos naturales si no se usan como medidas proteccionistas.</w:t>
      </w:r>
    </w:p>
    <w:p w14:paraId="015676BA" w14:textId="1A699D73" w:rsidR="00807DCC" w:rsidRDefault="000F2E9D" w:rsidP="00807DCC">
      <w:pPr>
        <w:numPr>
          <w:ilvl w:val="0"/>
          <w:numId w:val="5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Facultadx e</w:t>
      </w:r>
      <w:r w:rsidR="00807DCC" w:rsidRPr="00807DCC">
        <w:rPr>
          <w:color w:val="000000"/>
        </w:rPr>
        <w:t>Aranceles ambientales como instrumentos de corrección de externalidades.</w:t>
      </w:r>
    </w:p>
    <w:p w14:paraId="0C2BE883" w14:textId="527FE257" w:rsidR="00271B89" w:rsidRPr="00271B89" w:rsidRDefault="00271B89" w:rsidP="00271B89">
      <w:pPr>
        <w:pStyle w:val="NormalWeb"/>
        <w:numPr>
          <w:ilvl w:val="0"/>
          <w:numId w:val="5"/>
        </w:numPr>
        <w:rPr>
          <w:color w:val="000000"/>
        </w:rPr>
      </w:pPr>
      <w:r>
        <w:rPr>
          <w:color w:val="000000"/>
        </w:rPr>
        <w:t>El Artículo XX del GATT (incorporado a la OMC) permite a los Miembros adoptar medidas que de otro modo violarían las normas comerciales, siempre que cumplan con el Chapeau (cláusula introductoria) y con uno de los incisos específicos.</w:t>
      </w:r>
    </w:p>
    <w:p w14:paraId="644C2A7F" w14:textId="77777777" w:rsidR="00271B89" w:rsidRDefault="00271B89" w:rsidP="00271B89">
      <w:pPr>
        <w:pStyle w:val="NormalWeb"/>
        <w:rPr>
          <w:color w:val="000000"/>
        </w:rPr>
      </w:pPr>
      <w:r>
        <w:rPr>
          <w:color w:val="000000"/>
        </w:rPr>
        <w:t>Las excepciones más utilizadas en la práctica son (b) (salud y vida) y (g) (recursos naturales agotables), especialmente en disputas ambientales y de salud.</w:t>
      </w:r>
    </w:p>
    <w:p w14:paraId="551EB079" w14:textId="77777777" w:rsidR="00271B89" w:rsidRPr="00807DCC" w:rsidRDefault="00271B89" w:rsidP="00271B89">
      <w:pPr>
        <w:spacing w:before="100" w:beforeAutospacing="1" w:after="100" w:afterAutospacing="1"/>
        <w:rPr>
          <w:color w:val="00000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2"/>
        <w:gridCol w:w="8040"/>
      </w:tblGrid>
      <w:tr w:rsidR="00271B89" w14:paraId="651877F7" w14:textId="77777777">
        <w:trPr>
          <w:trHeight w:val="165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68C1208" w14:textId="77777777" w:rsidR="00271B89" w:rsidRDefault="00271B89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Apartado</w:t>
            </w:r>
          </w:p>
        </w:tc>
        <w:tc>
          <w:tcPr>
            <w:tcW w:w="12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69CB6AB" w14:textId="77777777" w:rsidR="00271B89" w:rsidRDefault="00271B89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Descripción exacta de la excepción</w:t>
            </w:r>
          </w:p>
        </w:tc>
      </w:tr>
      <w:tr w:rsidR="00271B89" w14:paraId="4DD89CD3" w14:textId="77777777">
        <w:trPr>
          <w:trHeight w:val="180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6BF2142" w14:textId="77777777" w:rsidR="00271B89" w:rsidRDefault="00271B89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lastRenderedPageBreak/>
              <w:t>(a)</w:t>
            </w:r>
          </w:p>
        </w:tc>
        <w:tc>
          <w:tcPr>
            <w:tcW w:w="12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D6BDBB6" w14:textId="77777777" w:rsidR="00271B89" w:rsidRDefault="00271B89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Necesarias para proteger la moral pública</w:t>
            </w:r>
          </w:p>
        </w:tc>
      </w:tr>
      <w:tr w:rsidR="00271B89" w14:paraId="35E33D51" w14:textId="77777777">
        <w:trPr>
          <w:trHeight w:val="165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A051DFA" w14:textId="77777777" w:rsidR="00271B89" w:rsidRDefault="00271B89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(b)</w:t>
            </w:r>
          </w:p>
        </w:tc>
        <w:tc>
          <w:tcPr>
            <w:tcW w:w="12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15BB2B3" w14:textId="77777777" w:rsidR="00271B89" w:rsidRDefault="00271B89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Necesarias para proteger la salud y la vida de las personas y de los animales o para preservar los vegetales</w:t>
            </w:r>
          </w:p>
        </w:tc>
      </w:tr>
      <w:tr w:rsidR="00271B89" w14:paraId="1D865502" w14:textId="77777777">
        <w:trPr>
          <w:trHeight w:val="165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9B4206B" w14:textId="77777777" w:rsidR="00271B89" w:rsidRDefault="00271B89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(c)</w:t>
            </w:r>
          </w:p>
        </w:tc>
        <w:tc>
          <w:tcPr>
            <w:tcW w:w="12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E4CA5ED" w14:textId="77777777" w:rsidR="00271B89" w:rsidRDefault="00271B89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Relativas a la importación o exportación de oro o plata</w:t>
            </w:r>
          </w:p>
        </w:tc>
      </w:tr>
      <w:tr w:rsidR="00271B89" w14:paraId="326DA6B6" w14:textId="77777777">
        <w:trPr>
          <w:trHeight w:val="165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577F462" w14:textId="77777777" w:rsidR="00271B89" w:rsidRDefault="00271B89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(d)</w:t>
            </w:r>
          </w:p>
        </w:tc>
        <w:tc>
          <w:tcPr>
            <w:tcW w:w="12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5E73875" w14:textId="77777777" w:rsidR="00271B89" w:rsidRDefault="00271B89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Necesarias para lograr la observancia de leyes o reglamentos no incompatibles con el GATT (aduanas, monopolios, patentes, marcas, derechos de autor, prevención de prácticas engañosas)</w:t>
            </w:r>
          </w:p>
        </w:tc>
      </w:tr>
      <w:tr w:rsidR="00271B89" w14:paraId="62548A31" w14:textId="77777777">
        <w:trPr>
          <w:trHeight w:val="165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3A17586" w14:textId="77777777" w:rsidR="00271B89" w:rsidRDefault="00271B89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(e)</w:t>
            </w:r>
          </w:p>
        </w:tc>
        <w:tc>
          <w:tcPr>
            <w:tcW w:w="12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426749D" w14:textId="77777777" w:rsidR="00271B89" w:rsidRDefault="00271B89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Relativas a los artículos fabricados en prisiones</w:t>
            </w:r>
          </w:p>
        </w:tc>
      </w:tr>
      <w:tr w:rsidR="00271B89" w14:paraId="386D125F" w14:textId="77777777">
        <w:trPr>
          <w:trHeight w:val="165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0466DDD" w14:textId="77777777" w:rsidR="00271B89" w:rsidRDefault="00271B89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(f)</w:t>
            </w:r>
          </w:p>
        </w:tc>
        <w:tc>
          <w:tcPr>
            <w:tcW w:w="12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8F19EFD" w14:textId="77777777" w:rsidR="00271B89" w:rsidRDefault="00271B89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Impuestas para proteger los tesoros nacionales de valor artístico, histórico o arqueológico</w:t>
            </w:r>
          </w:p>
        </w:tc>
      </w:tr>
      <w:tr w:rsidR="00271B89" w14:paraId="1D2B4D17" w14:textId="77777777">
        <w:trPr>
          <w:trHeight w:val="165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B66A4C5" w14:textId="77777777" w:rsidR="00271B89" w:rsidRDefault="00271B89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(g)</w:t>
            </w:r>
          </w:p>
        </w:tc>
        <w:tc>
          <w:tcPr>
            <w:tcW w:w="12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BCC06BD" w14:textId="77777777" w:rsidR="00271B89" w:rsidRDefault="00271B89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Relativas a la conservación de los recursos naturales agotables, siempre que se apliquen conjuntamente con restricciones a la producción o consumo nacionales</w:t>
            </w:r>
          </w:p>
        </w:tc>
      </w:tr>
      <w:tr w:rsidR="00271B89" w14:paraId="0FDDEBCF" w14:textId="77777777">
        <w:trPr>
          <w:trHeight w:val="165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1392953" w14:textId="77777777" w:rsidR="00271B89" w:rsidRDefault="00271B89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(h)</w:t>
            </w:r>
          </w:p>
        </w:tc>
        <w:tc>
          <w:tcPr>
            <w:tcW w:w="12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8F310F2" w14:textId="77777777" w:rsidR="00271B89" w:rsidRDefault="00271B89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Adoptadas en cumplimiento de obligaciones de un acuerdo intergubernamental sobre productos básicos</w:t>
            </w:r>
          </w:p>
        </w:tc>
      </w:tr>
      <w:tr w:rsidR="00271B89" w14:paraId="33948319" w14:textId="77777777">
        <w:trPr>
          <w:trHeight w:val="165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FAC1A26" w14:textId="77777777" w:rsidR="00271B89" w:rsidRDefault="00271B89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(i)</w:t>
            </w:r>
          </w:p>
        </w:tc>
        <w:tc>
          <w:tcPr>
            <w:tcW w:w="12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873F541" w14:textId="77777777" w:rsidR="00271B89" w:rsidRDefault="00271B89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Restricciones a la exportación de materias primas nacionales necesarias para una industria de transformación durante períodos de estabilización de precios</w:t>
            </w:r>
          </w:p>
        </w:tc>
      </w:tr>
      <w:tr w:rsidR="00271B89" w14:paraId="5AD58C13" w14:textId="77777777">
        <w:trPr>
          <w:trHeight w:val="165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37630AB" w14:textId="77777777" w:rsidR="00271B89" w:rsidRDefault="00271B89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(j)</w:t>
            </w:r>
          </w:p>
        </w:tc>
        <w:tc>
          <w:tcPr>
            <w:tcW w:w="12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836011D" w14:textId="77777777" w:rsidR="00271B89" w:rsidRDefault="00271B89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Esenciales para la adquisición o distribución de productos en situación de penuria general o local</w:t>
            </w:r>
          </w:p>
        </w:tc>
      </w:tr>
    </w:tbl>
    <w:p w14:paraId="137E1C83" w14:textId="77777777" w:rsidR="00271B89" w:rsidRPr="00807DCC" w:rsidRDefault="00271B89" w:rsidP="00807DCC">
      <w:pPr>
        <w:spacing w:before="100" w:beforeAutospacing="1" w:after="100" w:afterAutospacing="1"/>
        <w:rPr>
          <w:color w:val="000000"/>
        </w:rPr>
      </w:pPr>
    </w:p>
    <w:p w14:paraId="69095D44" w14:textId="278F5FB0" w:rsidR="00807DCC" w:rsidRPr="00271B89" w:rsidRDefault="00271B89" w:rsidP="00271B89">
      <w:pPr>
        <w:pStyle w:val="Prrafodelista"/>
        <w:numPr>
          <w:ilvl w:val="0"/>
          <w:numId w:val="14"/>
        </w:numPr>
        <w:spacing w:before="100" w:beforeAutospacing="1" w:after="100" w:afterAutospacing="1"/>
        <w:rPr>
          <w:b/>
          <w:bCs/>
          <w:color w:val="000000"/>
        </w:rPr>
      </w:pPr>
      <w:r w:rsidRPr="00271B89">
        <w:rPr>
          <w:b/>
          <w:bCs/>
          <w:color w:val="000000"/>
        </w:rPr>
        <w:t>COMERCIO Y ESTÁNDARES LABORALES (8 MIN)</w:t>
      </w:r>
    </w:p>
    <w:p w14:paraId="274BE42E" w14:textId="77777777" w:rsidR="00807DCC" w:rsidRPr="00807DCC" w:rsidRDefault="00807DCC" w:rsidP="00807DCC">
      <w:pPr>
        <w:spacing w:before="100" w:beforeAutospacing="1" w:after="100" w:afterAutospacing="1"/>
        <w:rPr>
          <w:color w:val="000000"/>
        </w:rPr>
      </w:pPr>
      <w:r w:rsidRPr="00807DCC">
        <w:rPr>
          <w:color w:val="000000"/>
        </w:rPr>
        <w:t>Debate:</w:t>
      </w:r>
    </w:p>
    <w:p w14:paraId="257D7076" w14:textId="77777777" w:rsidR="00807DCC" w:rsidRPr="00807DCC" w:rsidRDefault="00807DCC" w:rsidP="00807DCC">
      <w:pPr>
        <w:numPr>
          <w:ilvl w:val="0"/>
          <w:numId w:val="6"/>
        </w:numPr>
        <w:spacing w:before="100" w:beforeAutospacing="1" w:after="100" w:afterAutospacing="1"/>
        <w:rPr>
          <w:color w:val="000000"/>
        </w:rPr>
      </w:pPr>
      <w:r w:rsidRPr="00807DCC">
        <w:rPr>
          <w:color w:val="000000"/>
        </w:rPr>
        <w:t>Concepto de “race to the bottom”: países reducen regulaciones laborales para atraer inversiones.</w:t>
      </w:r>
    </w:p>
    <w:p w14:paraId="585017BD" w14:textId="77777777" w:rsidR="00807DCC" w:rsidRPr="00807DCC" w:rsidRDefault="00807DCC" w:rsidP="00807DCC">
      <w:pPr>
        <w:numPr>
          <w:ilvl w:val="0"/>
          <w:numId w:val="6"/>
        </w:numPr>
        <w:spacing w:before="100" w:beforeAutospacing="1" w:after="100" w:afterAutospacing="1"/>
        <w:rPr>
          <w:color w:val="000000"/>
        </w:rPr>
      </w:pPr>
      <w:r w:rsidRPr="00807DCC">
        <w:rPr>
          <w:color w:val="000000"/>
        </w:rPr>
        <w:t>Evidencia empírica:</w:t>
      </w:r>
    </w:p>
    <w:p w14:paraId="13AB8255" w14:textId="77777777" w:rsidR="00807DCC" w:rsidRPr="00807DCC" w:rsidRDefault="00807DCC" w:rsidP="00807DCC">
      <w:pPr>
        <w:numPr>
          <w:ilvl w:val="1"/>
          <w:numId w:val="6"/>
        </w:numPr>
        <w:spacing w:before="100" w:beforeAutospacing="1" w:after="100" w:afterAutospacing="1"/>
        <w:rPr>
          <w:color w:val="000000"/>
        </w:rPr>
      </w:pPr>
      <w:r w:rsidRPr="00807DCC">
        <w:rPr>
          <w:color w:val="000000"/>
        </w:rPr>
        <w:t>En algunos países en desarrollo, el comercio generó empleos e incrementó productividad (China, Vietnam).</w:t>
      </w:r>
    </w:p>
    <w:p w14:paraId="35B3B419" w14:textId="77777777" w:rsidR="00807DCC" w:rsidRPr="00807DCC" w:rsidRDefault="00807DCC" w:rsidP="00807DCC">
      <w:pPr>
        <w:numPr>
          <w:ilvl w:val="1"/>
          <w:numId w:val="6"/>
        </w:numPr>
        <w:spacing w:before="100" w:beforeAutospacing="1" w:after="100" w:afterAutospacing="1"/>
        <w:rPr>
          <w:color w:val="000000"/>
        </w:rPr>
      </w:pPr>
      <w:r w:rsidRPr="00807DCC">
        <w:rPr>
          <w:color w:val="000000"/>
        </w:rPr>
        <w:t>En otros, aumentó la precarización laboral.</w:t>
      </w:r>
    </w:p>
    <w:p w14:paraId="4A10E5EB" w14:textId="77777777" w:rsidR="00807DCC" w:rsidRPr="00807DCC" w:rsidRDefault="00807DCC" w:rsidP="00807DCC">
      <w:pPr>
        <w:spacing w:before="100" w:beforeAutospacing="1" w:after="100" w:afterAutospacing="1"/>
        <w:rPr>
          <w:color w:val="000000"/>
        </w:rPr>
      </w:pPr>
      <w:r w:rsidRPr="00807DCC">
        <w:rPr>
          <w:color w:val="000000"/>
        </w:rPr>
        <w:t>Instrumentos de política:</w:t>
      </w:r>
    </w:p>
    <w:p w14:paraId="0551431D" w14:textId="77777777" w:rsidR="00807DCC" w:rsidRPr="00807DCC" w:rsidRDefault="00807DCC" w:rsidP="00807DCC">
      <w:pPr>
        <w:numPr>
          <w:ilvl w:val="0"/>
          <w:numId w:val="7"/>
        </w:numPr>
        <w:spacing w:before="100" w:beforeAutospacing="1" w:after="100" w:afterAutospacing="1"/>
        <w:rPr>
          <w:color w:val="000000"/>
        </w:rPr>
      </w:pPr>
      <w:r w:rsidRPr="00807DCC">
        <w:rPr>
          <w:color w:val="000000"/>
        </w:rPr>
        <w:t>Cláusulas laborales en tratados (TLCAN, UE, T-MEC).</w:t>
      </w:r>
    </w:p>
    <w:p w14:paraId="198861BD" w14:textId="77777777" w:rsidR="00807DCC" w:rsidRPr="00807DCC" w:rsidRDefault="00807DCC" w:rsidP="00807DCC">
      <w:pPr>
        <w:numPr>
          <w:ilvl w:val="0"/>
          <w:numId w:val="7"/>
        </w:numPr>
        <w:spacing w:before="100" w:beforeAutospacing="1" w:after="100" w:afterAutospacing="1"/>
        <w:rPr>
          <w:color w:val="000000"/>
        </w:rPr>
      </w:pPr>
      <w:r w:rsidRPr="00807DCC">
        <w:rPr>
          <w:color w:val="000000"/>
        </w:rPr>
        <w:t>Rol de la OIT y convenios básicos (libertad sindical, eliminación del trabajo infantil, etc.).</w:t>
      </w:r>
    </w:p>
    <w:p w14:paraId="47CE02D4" w14:textId="77777777" w:rsidR="00C305AE" w:rsidRDefault="00C305AE" w:rsidP="00807DCC">
      <w:pPr>
        <w:spacing w:before="100" w:beforeAutospacing="1" w:after="100" w:afterAutospacing="1"/>
        <w:outlineLvl w:val="1"/>
        <w:rPr>
          <w:color w:val="000000"/>
        </w:rPr>
      </w:pPr>
    </w:p>
    <w:p w14:paraId="0E980C2D" w14:textId="23F8C32F" w:rsidR="00C305AE" w:rsidRDefault="00C305AE" w:rsidP="00807DCC">
      <w:pPr>
        <w:spacing w:before="100" w:beforeAutospacing="1" w:after="100" w:afterAutospacing="1"/>
        <w:outlineLvl w:val="1"/>
        <w:rPr>
          <w:color w:val="000000"/>
        </w:rPr>
      </w:pPr>
      <w:r w:rsidRPr="00C305AE">
        <w:rPr>
          <w:color w:val="000000"/>
        </w:rPr>
        <w:lastRenderedPageBreak/>
        <w:drawing>
          <wp:inline distT="0" distB="0" distL="0" distR="0" wp14:anchorId="1964A729" wp14:editId="26035F8E">
            <wp:extent cx="5612130" cy="3711575"/>
            <wp:effectExtent l="0" t="0" r="1270" b="0"/>
            <wp:docPr id="18317395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73953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90550" w14:textId="77777777" w:rsidR="00C305AE" w:rsidRDefault="00C305AE" w:rsidP="00807DCC">
      <w:pPr>
        <w:spacing w:before="100" w:beforeAutospacing="1" w:after="100" w:afterAutospacing="1"/>
        <w:outlineLvl w:val="1"/>
        <w:rPr>
          <w:color w:val="000000"/>
        </w:rPr>
      </w:pPr>
    </w:p>
    <w:p w14:paraId="2E937917" w14:textId="7A17D025" w:rsidR="00807DCC" w:rsidRPr="00271B89" w:rsidRDefault="00807DCC" w:rsidP="00271B89">
      <w:pPr>
        <w:pStyle w:val="Prrafodelista"/>
        <w:numPr>
          <w:ilvl w:val="0"/>
          <w:numId w:val="14"/>
        </w:numPr>
        <w:spacing w:before="100" w:beforeAutospacing="1" w:after="100" w:afterAutospacing="1"/>
        <w:rPr>
          <w:b/>
          <w:bCs/>
          <w:color w:val="000000"/>
        </w:rPr>
      </w:pPr>
      <w:r w:rsidRPr="00271B89">
        <w:rPr>
          <w:b/>
          <w:bCs/>
          <w:color w:val="000000"/>
        </w:rPr>
        <w:t>4. Comercio y Medio Ambiente (8 min)</w:t>
      </w:r>
    </w:p>
    <w:p w14:paraId="6A992F36" w14:textId="77777777" w:rsidR="00807DCC" w:rsidRPr="00807DCC" w:rsidRDefault="00807DCC" w:rsidP="00807DCC">
      <w:pPr>
        <w:spacing w:before="100" w:beforeAutospacing="1" w:after="100" w:afterAutospacing="1"/>
        <w:rPr>
          <w:color w:val="000000"/>
        </w:rPr>
      </w:pPr>
      <w:r w:rsidRPr="00807DCC">
        <w:rPr>
          <w:color w:val="000000"/>
        </w:rPr>
        <w:t>Tres efectos del comercio sobre el medio ambiente:</w:t>
      </w:r>
    </w:p>
    <w:p w14:paraId="11B50BE1" w14:textId="77777777" w:rsidR="00807DCC" w:rsidRPr="00807DCC" w:rsidRDefault="00807DCC" w:rsidP="00807DCC">
      <w:pPr>
        <w:numPr>
          <w:ilvl w:val="0"/>
          <w:numId w:val="8"/>
        </w:numPr>
        <w:spacing w:before="100" w:beforeAutospacing="1" w:after="100" w:afterAutospacing="1"/>
        <w:rPr>
          <w:color w:val="000000"/>
        </w:rPr>
      </w:pPr>
      <w:r w:rsidRPr="00807DCC">
        <w:rPr>
          <w:color w:val="000000"/>
        </w:rPr>
        <w:t>Efecto escala: mayor producción → más contaminación.</w:t>
      </w:r>
    </w:p>
    <w:p w14:paraId="6995615F" w14:textId="77777777" w:rsidR="00807DCC" w:rsidRPr="00807DCC" w:rsidRDefault="00807DCC" w:rsidP="00807DCC">
      <w:pPr>
        <w:numPr>
          <w:ilvl w:val="0"/>
          <w:numId w:val="8"/>
        </w:numPr>
        <w:spacing w:before="100" w:beforeAutospacing="1" w:after="100" w:afterAutospacing="1"/>
        <w:rPr>
          <w:color w:val="000000"/>
        </w:rPr>
      </w:pPr>
      <w:r w:rsidRPr="00807DCC">
        <w:rPr>
          <w:color w:val="000000"/>
        </w:rPr>
        <w:t>Efecto composición: especialización según ventaja comparativa.</w:t>
      </w:r>
    </w:p>
    <w:p w14:paraId="22C560EA" w14:textId="77777777" w:rsidR="00807DCC" w:rsidRDefault="00807DCC" w:rsidP="00807DCC">
      <w:pPr>
        <w:numPr>
          <w:ilvl w:val="0"/>
          <w:numId w:val="8"/>
        </w:numPr>
        <w:spacing w:before="100" w:beforeAutospacing="1" w:after="100" w:afterAutospacing="1"/>
        <w:rPr>
          <w:color w:val="000000"/>
        </w:rPr>
      </w:pPr>
      <w:r w:rsidRPr="00807DCC">
        <w:rPr>
          <w:color w:val="000000"/>
        </w:rPr>
        <w:t>Efecto técnica: adopción de tecnologías más limpias.</w:t>
      </w:r>
    </w:p>
    <w:p w14:paraId="0923BDF6" w14:textId="0B4A83BA" w:rsidR="00807DCC" w:rsidRPr="00807DCC" w:rsidRDefault="00C305AE" w:rsidP="00807DCC">
      <w:pPr>
        <w:spacing w:before="100" w:beforeAutospacing="1" w:after="100" w:afterAutospacing="1"/>
        <w:rPr>
          <w:color w:val="000000"/>
        </w:rPr>
      </w:pPr>
      <w:r w:rsidRPr="00C305AE">
        <w:rPr>
          <w:color w:val="000000"/>
        </w:rPr>
        <w:lastRenderedPageBreak/>
        <w:drawing>
          <wp:inline distT="0" distB="0" distL="0" distR="0" wp14:anchorId="17937E3A" wp14:editId="105E435A">
            <wp:extent cx="5612130" cy="3766820"/>
            <wp:effectExtent l="0" t="0" r="1270" b="5080"/>
            <wp:docPr id="13283207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32074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05AE">
        <w:rPr>
          <w:color w:val="000000"/>
        </w:rPr>
        <w:t xml:space="preserve"> </w:t>
      </w:r>
      <w:r w:rsidR="00807DCC" w:rsidRPr="00807DCC">
        <w:rPr>
          <w:color w:val="000000"/>
        </w:rPr>
        <w:t>Discusión:</w:t>
      </w:r>
    </w:p>
    <w:p w14:paraId="703F27FD" w14:textId="77777777" w:rsidR="00807DCC" w:rsidRPr="00807DCC" w:rsidRDefault="00807DCC" w:rsidP="00807DCC">
      <w:pPr>
        <w:spacing w:before="100" w:beforeAutospacing="1" w:after="100" w:afterAutospacing="1"/>
        <w:rPr>
          <w:color w:val="000000"/>
        </w:rPr>
      </w:pPr>
      <w:r w:rsidRPr="00807DCC">
        <w:rPr>
          <w:color w:val="000000"/>
        </w:rPr>
        <w:t>Enlace teórico: Modelo de equilibrio general con externalidades → el costo ambiental debe internalizarse vía impuestos o acuerdos multilaterales.</w:t>
      </w:r>
    </w:p>
    <w:p w14:paraId="64709982" w14:textId="77777777" w:rsidR="00807DCC" w:rsidRPr="00271B89" w:rsidRDefault="00807DCC" w:rsidP="00271B89">
      <w:pPr>
        <w:pStyle w:val="Prrafodelista"/>
        <w:numPr>
          <w:ilvl w:val="0"/>
          <w:numId w:val="14"/>
        </w:numPr>
        <w:spacing w:before="100" w:beforeAutospacing="1" w:after="100" w:afterAutospacing="1"/>
        <w:rPr>
          <w:b/>
          <w:bCs/>
          <w:color w:val="000000"/>
        </w:rPr>
      </w:pPr>
      <w:r w:rsidRPr="00271B89">
        <w:rPr>
          <w:b/>
          <w:bCs/>
          <w:color w:val="000000"/>
        </w:rPr>
        <w:t>5. Modelos Teóricos y Evidencia (4 min)</w:t>
      </w:r>
    </w:p>
    <w:p w14:paraId="4EBDE98A" w14:textId="77777777" w:rsidR="00807DCC" w:rsidRPr="00807DCC" w:rsidRDefault="00807DCC" w:rsidP="00807DCC">
      <w:pPr>
        <w:spacing w:before="100" w:beforeAutospacing="1" w:after="100" w:afterAutospacing="1"/>
        <w:rPr>
          <w:color w:val="000000"/>
        </w:rPr>
      </w:pPr>
      <w:r w:rsidRPr="00807DCC">
        <w:rPr>
          <w:color w:val="000000"/>
        </w:rPr>
        <w:t>Modelos incluidos en el capítulo:</w:t>
      </w:r>
    </w:p>
    <w:p w14:paraId="66B540C0" w14:textId="77777777" w:rsidR="00807DCC" w:rsidRPr="00807DCC" w:rsidRDefault="00807DCC" w:rsidP="00807DCC">
      <w:pPr>
        <w:numPr>
          <w:ilvl w:val="0"/>
          <w:numId w:val="10"/>
        </w:numPr>
        <w:spacing w:before="100" w:beforeAutospacing="1" w:after="100" w:afterAutospacing="1"/>
        <w:rPr>
          <w:color w:val="000000"/>
        </w:rPr>
      </w:pPr>
      <w:r w:rsidRPr="00807DCC">
        <w:rPr>
          <w:color w:val="000000"/>
        </w:rPr>
        <w:t>Modelo Heckscher–Ohlin enriquecido: diferentes dotaciones → distintos impactos laborales y ambientales.</w:t>
      </w:r>
    </w:p>
    <w:p w14:paraId="5281FBFC" w14:textId="77777777" w:rsidR="00807DCC" w:rsidRPr="00807DCC" w:rsidRDefault="00807DCC" w:rsidP="00807DCC">
      <w:pPr>
        <w:numPr>
          <w:ilvl w:val="0"/>
          <w:numId w:val="10"/>
        </w:numPr>
        <w:spacing w:before="100" w:beforeAutospacing="1" w:after="100" w:afterAutospacing="1"/>
        <w:rPr>
          <w:color w:val="000000"/>
        </w:rPr>
      </w:pPr>
      <w:r w:rsidRPr="00807DCC">
        <w:rPr>
          <w:color w:val="000000"/>
        </w:rPr>
        <w:t>Modelo de factores específicos: los ganadores y perdedores del comercio dentro de un país.</w:t>
      </w:r>
    </w:p>
    <w:p w14:paraId="5FACE483" w14:textId="77777777" w:rsidR="00807DCC" w:rsidRPr="00807DCC" w:rsidRDefault="00807DCC" w:rsidP="00807DCC">
      <w:pPr>
        <w:numPr>
          <w:ilvl w:val="0"/>
          <w:numId w:val="10"/>
        </w:numPr>
        <w:spacing w:before="100" w:beforeAutospacing="1" w:after="100" w:afterAutospacing="1"/>
        <w:rPr>
          <w:color w:val="000000"/>
        </w:rPr>
      </w:pPr>
      <w:r w:rsidRPr="00807DCC">
        <w:rPr>
          <w:color w:val="000000"/>
        </w:rPr>
        <w:t>Política óptima: uso de subsidios o impuestos ambientales antes que aranceles.</w:t>
      </w:r>
    </w:p>
    <w:p w14:paraId="06C759FF" w14:textId="77777777" w:rsidR="00807DCC" w:rsidRPr="00807DCC" w:rsidRDefault="00807DCC" w:rsidP="00807DCC">
      <w:pPr>
        <w:spacing w:before="100" w:beforeAutospacing="1" w:after="100" w:afterAutospacing="1"/>
        <w:rPr>
          <w:color w:val="000000"/>
        </w:rPr>
      </w:pPr>
      <w:r w:rsidRPr="00807DCC">
        <w:rPr>
          <w:color w:val="000000"/>
        </w:rPr>
        <w:t>Apoyo visual: esquema de bienestar social antes/después del comercio con externalidades.</w:t>
      </w:r>
    </w:p>
    <w:p w14:paraId="28D44E66" w14:textId="77777777" w:rsidR="00807DCC" w:rsidRPr="00271B89" w:rsidRDefault="00807DCC" w:rsidP="00271B89">
      <w:pPr>
        <w:pStyle w:val="Prrafodelista"/>
        <w:numPr>
          <w:ilvl w:val="0"/>
          <w:numId w:val="14"/>
        </w:numPr>
        <w:spacing w:before="100" w:beforeAutospacing="1" w:after="100" w:afterAutospacing="1"/>
        <w:rPr>
          <w:b/>
          <w:bCs/>
          <w:color w:val="000000"/>
        </w:rPr>
      </w:pPr>
      <w:r w:rsidRPr="00271B89">
        <w:rPr>
          <w:b/>
          <w:bCs/>
          <w:color w:val="000000"/>
        </w:rPr>
        <w:t>6. Conclusiones y Debate (5–6 min)</w:t>
      </w:r>
    </w:p>
    <w:p w14:paraId="73D072D2" w14:textId="77777777" w:rsidR="00807DCC" w:rsidRPr="00807DCC" w:rsidRDefault="00807DCC" w:rsidP="00807DCC">
      <w:pPr>
        <w:spacing w:before="100" w:beforeAutospacing="1" w:after="100" w:afterAutospacing="1"/>
        <w:rPr>
          <w:color w:val="000000"/>
        </w:rPr>
      </w:pPr>
      <w:r w:rsidRPr="00807DCC">
        <w:rPr>
          <w:color w:val="000000"/>
        </w:rPr>
        <w:t>Mensajes clave:</w:t>
      </w:r>
    </w:p>
    <w:p w14:paraId="1ED1E557" w14:textId="77777777" w:rsidR="00807DCC" w:rsidRPr="00807DCC" w:rsidRDefault="00807DCC" w:rsidP="00807DCC">
      <w:pPr>
        <w:numPr>
          <w:ilvl w:val="0"/>
          <w:numId w:val="11"/>
        </w:numPr>
        <w:spacing w:before="100" w:beforeAutospacing="1" w:after="100" w:afterAutospacing="1"/>
        <w:rPr>
          <w:color w:val="000000"/>
        </w:rPr>
      </w:pPr>
      <w:r w:rsidRPr="00807DCC">
        <w:rPr>
          <w:color w:val="000000"/>
        </w:rPr>
        <w:t>El comercio internacional no es inherentemente dañino; depende de las instituciones que regulan trabajo y ambiente.</w:t>
      </w:r>
    </w:p>
    <w:p w14:paraId="7558089A" w14:textId="77777777" w:rsidR="00807DCC" w:rsidRPr="00807DCC" w:rsidRDefault="00807DCC" w:rsidP="00807DCC">
      <w:pPr>
        <w:numPr>
          <w:ilvl w:val="0"/>
          <w:numId w:val="11"/>
        </w:numPr>
        <w:spacing w:before="100" w:beforeAutospacing="1" w:after="100" w:afterAutospacing="1"/>
        <w:rPr>
          <w:color w:val="000000"/>
        </w:rPr>
      </w:pPr>
      <w:r w:rsidRPr="00807DCC">
        <w:rPr>
          <w:color w:val="000000"/>
        </w:rPr>
        <w:t>Integrar estos estándares en acuerdos mejora la equidad del sistema comercial.</w:t>
      </w:r>
    </w:p>
    <w:p w14:paraId="4D4EFF85" w14:textId="77777777" w:rsidR="00807DCC" w:rsidRPr="00807DCC" w:rsidRDefault="00807DCC" w:rsidP="00807DCC">
      <w:pPr>
        <w:numPr>
          <w:ilvl w:val="0"/>
          <w:numId w:val="11"/>
        </w:numPr>
        <w:spacing w:before="100" w:beforeAutospacing="1" w:after="100" w:afterAutospacing="1"/>
        <w:rPr>
          <w:color w:val="000000"/>
        </w:rPr>
      </w:pPr>
      <w:r w:rsidRPr="00807DCC">
        <w:rPr>
          <w:color w:val="000000"/>
        </w:rPr>
        <w:t>Recomendaciones de los autores:</w:t>
      </w:r>
    </w:p>
    <w:p w14:paraId="6AAD69A8" w14:textId="77777777" w:rsidR="00807DCC" w:rsidRPr="00807DCC" w:rsidRDefault="00807DCC" w:rsidP="00807DCC">
      <w:pPr>
        <w:numPr>
          <w:ilvl w:val="1"/>
          <w:numId w:val="11"/>
        </w:numPr>
        <w:spacing w:before="100" w:beforeAutospacing="1" w:after="100" w:afterAutospacing="1"/>
        <w:rPr>
          <w:color w:val="000000"/>
        </w:rPr>
      </w:pPr>
      <w:r w:rsidRPr="00807DCC">
        <w:rPr>
          <w:color w:val="000000"/>
        </w:rPr>
        <w:lastRenderedPageBreak/>
        <w:t>Fortalecer coordinación entre OMC, OIT y organismos ambientales.</w:t>
      </w:r>
    </w:p>
    <w:p w14:paraId="19BB31CB" w14:textId="77777777" w:rsidR="00807DCC" w:rsidRPr="00807DCC" w:rsidRDefault="00807DCC" w:rsidP="00807DCC">
      <w:pPr>
        <w:numPr>
          <w:ilvl w:val="1"/>
          <w:numId w:val="11"/>
        </w:numPr>
        <w:spacing w:before="100" w:beforeAutospacing="1" w:after="100" w:afterAutospacing="1"/>
        <w:rPr>
          <w:color w:val="000000"/>
        </w:rPr>
      </w:pPr>
      <w:r w:rsidRPr="00807DCC">
        <w:rPr>
          <w:color w:val="000000"/>
        </w:rPr>
        <w:t>Evitar usar medidas “verdes” o laborales como excusa proteccionista.</w:t>
      </w:r>
    </w:p>
    <w:p w14:paraId="3D71F178" w14:textId="77777777" w:rsidR="00807DCC" w:rsidRPr="00807DCC" w:rsidRDefault="00807DCC" w:rsidP="00807DCC">
      <w:pPr>
        <w:numPr>
          <w:ilvl w:val="1"/>
          <w:numId w:val="11"/>
        </w:numPr>
        <w:spacing w:before="100" w:beforeAutospacing="1" w:after="100" w:afterAutospacing="1"/>
        <w:rPr>
          <w:color w:val="000000"/>
        </w:rPr>
      </w:pPr>
      <w:r w:rsidRPr="00807DCC">
        <w:rPr>
          <w:color w:val="000000"/>
        </w:rPr>
        <w:t>Compensar a los perdedores del comercio (fondos de ajuste y cooperación internacional).</w:t>
      </w:r>
    </w:p>
    <w:p w14:paraId="57494F53" w14:textId="77777777" w:rsidR="00807DCC" w:rsidRPr="00807DCC" w:rsidRDefault="00807DCC" w:rsidP="00807DCC">
      <w:pPr>
        <w:spacing w:before="100" w:beforeAutospacing="1" w:after="100" w:afterAutospacing="1"/>
        <w:rPr>
          <w:color w:val="000000"/>
        </w:rPr>
      </w:pPr>
      <w:r w:rsidRPr="00807DCC">
        <w:rPr>
          <w:color w:val="000000"/>
        </w:rPr>
        <w:t>Actividad final sugerida (opcional, si hay tiempo): Discusión guiada:</w:t>
      </w:r>
    </w:p>
    <w:p w14:paraId="32750EFA" w14:textId="77777777" w:rsidR="00807DCC" w:rsidRPr="00807DCC" w:rsidRDefault="00807DCC" w:rsidP="00807DCC">
      <w:pPr>
        <w:spacing w:before="100" w:beforeAutospacing="1" w:after="100" w:afterAutospacing="1"/>
        <w:rPr>
          <w:color w:val="000000"/>
        </w:rPr>
      </w:pPr>
      <w:r w:rsidRPr="00807DCC">
        <w:rPr>
          <w:color w:val="000000"/>
        </w:rPr>
        <w:t>¿Debe la OMC incluir un capítulo ambiental y laboral vinculante? Argumenta económicamente.</w:t>
      </w:r>
    </w:p>
    <w:p w14:paraId="25FDCC8B" w14:textId="77777777" w:rsidR="00F02CA8" w:rsidRDefault="00F02CA8"/>
    <w:sectPr w:rsidR="00F02CA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127D3"/>
    <w:multiLevelType w:val="multilevel"/>
    <w:tmpl w:val="EA1A8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092F57"/>
    <w:multiLevelType w:val="hybridMultilevel"/>
    <w:tmpl w:val="AF66515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F97E74"/>
    <w:multiLevelType w:val="multilevel"/>
    <w:tmpl w:val="E5989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253DCB"/>
    <w:multiLevelType w:val="multilevel"/>
    <w:tmpl w:val="8A066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7C326F"/>
    <w:multiLevelType w:val="multilevel"/>
    <w:tmpl w:val="F356C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04708B"/>
    <w:multiLevelType w:val="multilevel"/>
    <w:tmpl w:val="B3041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22D3041"/>
    <w:multiLevelType w:val="multilevel"/>
    <w:tmpl w:val="D100A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2C270DD"/>
    <w:multiLevelType w:val="multilevel"/>
    <w:tmpl w:val="2DBA95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64C3310"/>
    <w:multiLevelType w:val="multilevel"/>
    <w:tmpl w:val="55446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70C7C7C"/>
    <w:multiLevelType w:val="multilevel"/>
    <w:tmpl w:val="084EF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C80383F"/>
    <w:multiLevelType w:val="multilevel"/>
    <w:tmpl w:val="ED72B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37C67E8"/>
    <w:multiLevelType w:val="multilevel"/>
    <w:tmpl w:val="01162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EB02F30"/>
    <w:multiLevelType w:val="multilevel"/>
    <w:tmpl w:val="2340B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26E317A"/>
    <w:multiLevelType w:val="multilevel"/>
    <w:tmpl w:val="B0B49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21911288">
    <w:abstractNumId w:val="3"/>
  </w:num>
  <w:num w:numId="2" w16cid:durableId="1218664408">
    <w:abstractNumId w:val="0"/>
  </w:num>
  <w:num w:numId="3" w16cid:durableId="988242007">
    <w:abstractNumId w:val="10"/>
  </w:num>
  <w:num w:numId="4" w16cid:durableId="1713845380">
    <w:abstractNumId w:val="8"/>
  </w:num>
  <w:num w:numId="5" w16cid:durableId="1487280033">
    <w:abstractNumId w:val="13"/>
  </w:num>
  <w:num w:numId="6" w16cid:durableId="599026539">
    <w:abstractNumId w:val="4"/>
  </w:num>
  <w:num w:numId="7" w16cid:durableId="1939826942">
    <w:abstractNumId w:val="2"/>
  </w:num>
  <w:num w:numId="8" w16cid:durableId="1824420483">
    <w:abstractNumId w:val="6"/>
  </w:num>
  <w:num w:numId="9" w16cid:durableId="1219395217">
    <w:abstractNumId w:val="12"/>
  </w:num>
  <w:num w:numId="10" w16cid:durableId="616907531">
    <w:abstractNumId w:val="11"/>
  </w:num>
  <w:num w:numId="11" w16cid:durableId="1194224000">
    <w:abstractNumId w:val="9"/>
  </w:num>
  <w:num w:numId="12" w16cid:durableId="1492915710">
    <w:abstractNumId w:val="5"/>
  </w:num>
  <w:num w:numId="13" w16cid:durableId="1726949546">
    <w:abstractNumId w:val="7"/>
  </w:num>
  <w:num w:numId="14" w16cid:durableId="5662586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DCC"/>
    <w:rsid w:val="000F2E9D"/>
    <w:rsid w:val="00180EAF"/>
    <w:rsid w:val="001B6E79"/>
    <w:rsid w:val="002276A2"/>
    <w:rsid w:val="00271B89"/>
    <w:rsid w:val="00560E8C"/>
    <w:rsid w:val="00807DCC"/>
    <w:rsid w:val="0093794E"/>
    <w:rsid w:val="00A664A4"/>
    <w:rsid w:val="00C305AE"/>
    <w:rsid w:val="00C807F3"/>
    <w:rsid w:val="00F02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FD74540"/>
  <w15:chartTrackingRefBased/>
  <w15:docId w15:val="{A2205CA7-F1D3-8F47-B4D0-90683F02E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0E8C"/>
    <w:rPr>
      <w:rFonts w:ascii="Times New Roman" w:eastAsia="Times New Roman" w:hAnsi="Times New Roman" w:cs="Times New Roman"/>
      <w:kern w:val="0"/>
      <w:lang w:eastAsia="es-MX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807D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07D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07DC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07D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07DC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07DC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07DC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07DC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07DC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07DC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807D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807DC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07DC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07DC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07DC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07DC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07DC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07DC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07DC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07D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07DC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07D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07DC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07DC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07DC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07DC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07D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07DC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07DCC"/>
    <w:rPr>
      <w:b/>
      <w:bCs/>
      <w:smallCaps/>
      <w:color w:val="0F4761" w:themeColor="accent1" w:themeShade="BF"/>
      <w:spacing w:val="5"/>
    </w:rPr>
  </w:style>
  <w:style w:type="character" w:customStyle="1" w:styleId="font-semibold">
    <w:name w:val="font-semibold"/>
    <w:basedOn w:val="Fuentedeprrafopredeter"/>
    <w:rsid w:val="00807DCC"/>
  </w:style>
  <w:style w:type="paragraph" w:styleId="NormalWeb">
    <w:name w:val="Normal (Web)"/>
    <w:basedOn w:val="Normal"/>
    <w:uiPriority w:val="99"/>
    <w:unhideWhenUsed/>
    <w:rsid w:val="00807DCC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uentedeprrafopredeter"/>
    <w:rsid w:val="00807DCC"/>
  </w:style>
  <w:style w:type="paragraph" w:customStyle="1" w:styleId="py-1">
    <w:name w:val="py-1"/>
    <w:basedOn w:val="Normal"/>
    <w:rsid w:val="00807DCC"/>
    <w:pPr>
      <w:spacing w:before="100" w:beforeAutospacing="1" w:after="100" w:afterAutospacing="1"/>
    </w:pPr>
  </w:style>
  <w:style w:type="character" w:styleId="Fuerte">
    <w:name w:val="Strong"/>
    <w:basedOn w:val="Fuentedeprrafopredeter"/>
    <w:uiPriority w:val="22"/>
    <w:qFormat/>
    <w:rsid w:val="00560E8C"/>
    <w:rPr>
      <w:b/>
      <w:bCs/>
    </w:rPr>
  </w:style>
  <w:style w:type="table" w:styleId="Tablaconcuadrcula">
    <w:name w:val="Table Grid"/>
    <w:basedOn w:val="Tablanormal"/>
    <w:uiPriority w:val="39"/>
    <w:rsid w:val="00560E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1323</Words>
  <Characters>8111</Characters>
  <Application>Microsoft Office Word</Application>
  <DocSecurity>0</DocSecurity>
  <Lines>540</Lines>
  <Paragraphs>349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serjhon</dc:creator>
  <cp:keywords/>
  <dc:description/>
  <cp:lastModifiedBy>serjhon</cp:lastModifiedBy>
  <cp:revision>2</cp:revision>
  <dcterms:created xsi:type="dcterms:W3CDTF">2026-04-23T19:28:00Z</dcterms:created>
  <dcterms:modified xsi:type="dcterms:W3CDTF">2026-04-23T19:28:00Z</dcterms:modified>
</cp:coreProperties>
</file>